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Rechtsanwältin Friederike Morgen</w:t>
      </w:r>
    </w:p>
    <w:p>
      <w:pPr>
        <w:pStyle w:val="Title"/>
      </w:pPr>
      <w:r>
        <w:t>Befall im Sonnenwinkel und die Kostenfrage</w:t>
      </w:r>
    </w:p>
    <w:p>
      <w:r>
        <w:t>24.09.2026</w:t>
      </w:r>
    </w:p>
    <w:p>
      <w:r>
        <w:t>Sehr geehrte Frau Morgen,</w:t>
      </w:r>
    </w:p>
    <w:p>
      <w:r>
        <w:t>im Sonnenwinkel wurden in zwei Wohnungen Bettwanzen fachlich festgestellt. Die erste Meldung stammt aus Wohnung 4, eine spätere aus Wohnung 5. Der Schädlingsbekämpfer kann den Ausgangspunkt bisher nicht bestimmen. Die Eigentümerin von Wohnung 4 hat bereits eine erste Untersuchung beauftragt; die Gemeinschaft hat anschließend ein abgestimmtes Vorgehen beschlossen. Nun will ein Eigentümer sämtliche Rechnungen als laufende Betriebskosten weiterreichen.</w:t>
      </w:r>
    </w:p>
    <w:p>
      <w:r>
        <w:t>Bitte klären Sie die Zuständigkeiten und erstellen Sie konkrete Schreiben an die betroffenen Eigentümer und Vermieter. Die Mieter sollen Zugangstermine und angemessene Hinweise erhalten, ohne dass ihnen ein unbewiesener Vorwurf gemacht wird. Wir brauchen außerdem eine nachvollziehbare Zuordnung der bisherigen Kosten und eine Entscheidungsvorlage für die noch anstehende Kontrolle. Private Erstattungswünsche sollen separat erfasst werden.</w:t>
      </w:r>
    </w:p>
    <w:p>
      <w:r>
        <w:t>Die Gemeinschaft hat keine regelmäßige Schädlingsbekämpfungspauschale vereinbart. Es geht um diesen einzelnen Vorgang. Die vorhandenen Rechnungen, Zugangsabsprachen und Befundberichte sind beigefügt. Eine eigenständige medizinische Bewertung von Hautreaktionen oder Anleitung zur Selbstbehandlung ist nicht beauftragt. Bitte keine Namen betroffener Mieter in einen allgemeinen Hausbrief übernehmen.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Befall im Sonnenwinkel und die Kostenfrage</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