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Gemeinschaft der Wohnungseigentümer Sonnenwinkel 12</w:t>
        <w:br/>
        <w:t>Sonnenwinkel 12, Berlin</w:t>
      </w:r>
    </w:p>
    <w:p>
      <w:r>
        <w:t>Niederschrift der außerordentlichen Eigentümerversammlung</w:t>
      </w:r>
    </w:p>
    <w:p>
      <w:pPr>
        <w:pStyle w:val="Title"/>
      </w:pPr>
      <w:r>
        <w:t>Beschluss zur koordinierten Bearbeitung des Befalls</w:t>
      </w:r>
    </w:p>
    <w:p>
      <w:r>
        <w:t>31.08.2026</w:t>
      </w:r>
    </w:p>
    <w:p>
      <w:r>
        <w:t>Die Gemeinschaft beauftragt Kiezklar Schädlingsmanagement mit dem im Angebot KK-A-260828 bezeichneten ersten Einsatz in beiden betroffenen Wohnungen für 1.428 EUR brutto und der Kontrolle für 714 EUR brutto. Die Verwaltung stimmt die Zugangstermine mit den Eigentümern und Mietern ab. Die Gemeinschaft verauslagt diese beiden Beträge aus dem laufenden Konto. Über eine mögliche Erstattung durch Dritte wird damit nicht entschieden.</w:t>
      </w:r>
    </w:p>
    <w:p>
      <w:r>
        <w:t>Die Eigentümer wurden darüber informiert, dass die Ursache fachlich noch offen ist und die Vergleichsanfrage nur eine spätere Untersuchung, nicht dieselben Behandlungsleistungen umfasst. Fünf Eigentümer stimmen zu, Theobald Schreck enthält sich. Eine Kostenumlage auf einzelne Mieter oder ein personenbezogener Verursacherbeschluss werden nicht gefasst.</w:t>
      </w:r>
    </w:p>
    <w:p>
      <w:r>
        <w:t>Ein Angebot für eine fachlich empfohlene Abdichtung soll getrennt eingeholt werden. Die Verwaltung darf für diesen zusätzlichen Auftrag aus diesem Beschluss noch keine Zahlung zusagen. Weitere Bekämpfungstermine über die genannten Leistungen hinaus bedürfen einer erneuten Abstimmung, soweit keine anderweitige Befugnis besteht.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 zur koordinierten Bearbeitung des Befalls</dc:title>
  <dc:subject/>
  <dc:creator>Gemeinschaft der Wohnungseigentümer Sonnenwinkel 12
Sonnenwinkel 12,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