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Theobald Schreck</w:t>
      </w:r>
    </w:p>
    <w:p>
      <w:r>
        <w:t>Linh Tran</w:t>
      </w:r>
    </w:p>
    <w:p>
      <w:pPr>
        <w:pStyle w:val="Title"/>
      </w:pPr>
      <w:r>
        <w:t>Mietvertrag Sonnenwinkel Wohnung 5</w:t>
      </w:r>
    </w:p>
    <w:p>
      <w:r>
        <w:t>10.06.2024</w:t>
      </w:r>
    </w:p>
    <w:p>
      <w:r>
        <w:t>1. Mietgegenstand und Beginn</w:t>
      </w:r>
    </w:p>
    <w:p>
      <w:r>
        <w:t>Theobald Schreck vermietet Linh Tran die Wohnung 5 im Sonnenwinkel 12 in Berlin mit 90 m² Wohnfläche. Die Wohnung umfasst drei Zimmer, Küche, Bad und Flur. Das Mietverhältnis beginnt am 01.07.2024 und läuft auf unbestimmte Zeit. Ein Kellerabteil wird zur Nutzung überlassen.</w:t>
      </w:r>
    </w:p>
    <w:p>
      <w:r>
        <w:t>2. Miete und Betriebskosten</w:t>
      </w:r>
    </w:p>
    <w:p>
      <w:r>
        <w:t>Die monatliche Nettokaltmiete beträgt 1.170 EUR. Für Betriebskosten einschließlich Heizung werden monatlich 290 EUR vorausgezahlt. Der Vermieter rechnet kalenderjährlich ab. Umlagefähig sind die nach der Betriebskostenverordnung vereinbarten laufenden Betriebskosten, soweit sie tatsächlich anfallen. Eine allgemeine Pflicht der Mieterin, sämtliche vom Wohnungseigentümer gezahlten Gemeinschaftskosten zu erstatten, wird nicht vereinbart.</w:t>
      </w:r>
    </w:p>
    <w:p>
      <w:r>
        <w:t>3. Erhaltung und Mängelanzeige</w:t>
      </w:r>
    </w:p>
    <w:p>
      <w:r>
        <w:t>Die Mieterin zeigt auftretende Mängel dem Vermieter ohne schuldhaftes Zögern an. Der Vermieter veranlasst die im Rahmen seiner Pflichten erforderliche Prüfung und Abhilfe. Ein Zugang zu erforderlichen Arbeiten wird nach Ankündigung unter Berücksichtigung berechtigter Interessen abgestimmt. Eine generelle Schlüsselhinterlegung bei der Hausverwaltung ist nicht vereinbart.</w:t>
      </w:r>
    </w:p>
    <w:p>
      <w:r>
        <w:t>4. Verantwortlichkeit</w:t>
      </w:r>
    </w:p>
    <w:p>
      <w:r>
        <w:t>Gesetzliche Ansprüche wegen schuldhaft verursachter Schäden bleiben unberührt. Weder die bloße Feststellung eines Mangels in der Wohnung noch die Reihenfolge einer Meldung wird durch den Vertrag als Nachweis eines Verschuldens festgelegt. Zusätzliche Vereinbarungen über einen laufenden Schädlingsbekämpfungsdienst bestehen nicht.</w:t>
      </w:r>
    </w:p>
    <w:p>
      <w:r>
        <w:t>Theobald Schreck und Linh Tran haben den Vertrag am 10.06.2024 unterzeichnet.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Mietvertrag Sonnenwinkel Wohnung 5</dc:title>
  <dc:subject/>
  <dc:creator>Theobald Schreck</dc:creator>
  <cp:keywords/>
  <dc:description>generated by python-docx</dc:description>
  <cp:lastModifiedBy/>
  <cp:revision>1</cp:revision>
  <dcterms:created xsi:type="dcterms:W3CDTF">2026-10-01T09:00:00Z</dcterms:created>
  <dcterms:modified xsi:type="dcterms:W3CDTF">2026-10-01T09:00:00Z</dcterms:modified>
  <cp:category/>
</cp:coreProperties>
</file>