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Eigentümerinnen und Eigentümer Sonnenwinkel 12</w:t>
      </w:r>
    </w:p>
    <w:p>
      <w:pPr>
        <w:pStyle w:val="Title"/>
      </w:pPr>
      <w:r>
        <w:t>Hinweis auf zusätzliche Kosten im Sonnenwinkel</w:t>
      </w:r>
    </w:p>
    <w:p>
      <w:r>
        <w:t>23.09.2026</w:t>
      </w:r>
    </w:p>
    <w:p>
      <w:r>
        <w:t>Sehr geehrte Damen und Herren,</w:t>
      </w:r>
    </w:p>
    <w:p>
      <w:r>
        <w:t>im Zusammenhang mit dem derzeitigen Befall liegen uns verschiedene Rechnungen und Angebote vor. Die Verwaltung beabsichtigt, die im Kostenblatt genannten Beträge in der Jahresabrechnung zu berücksichtigen. In der bisherigen internen Textvorlage steht dazu „sämtliche Maßnahmen als umlagefähige Schädlingsbekämpfungskosten erfassen“.</w:t>
      </w:r>
    </w:p>
    <w:p>
      <w:r>
        <w:t>Der Beirat hat dieser pauschalen Formulierung widersprochen und eine Trennung nach Auftrag, Zahlung und Gegenstand verlangt. Der Brief ist deshalb noch nicht versandt. Die von einzelnen Eigentümern oder Mietern privat bezahlten Leistungen werden bis zur Klärung nicht als bereits aus dem Gemeinschaftskonto bezahlt bezeichnet.</w:t>
      </w:r>
    </w:p>
    <w:p>
      <w:r>
        <w:t>Für die nächste Kontrolle und die angebotene Abdichtung werden konkrete Entscheidungen vorbereitet. Über eine Verantwortung einer bestimmten Person ist bislang keine Feststellung getroffen worden.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Hinweis auf zusätzliche Kosten im Sonnenwinkel</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