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Ottfried Knöpfle</w:t>
      </w:r>
    </w:p>
    <w:p>
      <w:pPr>
        <w:pStyle w:val="Title"/>
      </w:pPr>
      <w:r>
        <w:t>WEG Abrechnung 2025 Wohnung 4</w:t>
      </w:r>
    </w:p>
    <w:p>
      <w:r>
        <w:t>14.09.2026</w:t>
      </w:r>
    </w:p>
    <w:p>
      <w:r>
        <w:t>Die acht Wohnungen im Spreebogen 7 haben je 80 m² Wohnfläche und je 125 von 1.000 Miteigentumsanteilen. Für Wohnung 4 entfallen aus der gemeinschaftlichen Kostenrechnung 360 EUR auf Wasser, 240 EUR auf Müll, 264 EUR auf die Gebäudeversicherung, 360 EUR auf Reinigung, 360 EUR auf Hausmeisterleistungen und 132 EUR auf Allgemeinstrom. Die Heizkostenabrechnung weist 2.160 EUR aus.</w:t>
      </w:r>
    </w:p>
    <w:p>
      <w:r>
        <w:t>Hinzu kommen 480 EUR Verwaltung, 750 EUR Dachreparatur und 60 EUR Bankkosten. Die gemeinschaftlichen Kosten für diese Wohnung betragen damit 5.166 EUR. Die geleisteten Beiträge zur Erhaltungsrücklage von 1.000 EUR werden getrennt nachgewiesen. Der beigefügte Datenexport summiert sämtliche für den Eigentümer dargestellten Positionen einschließlich dieses Beitrags auf 6.166 EUR.</w:t>
      </w:r>
    </w:p>
    <w:p>
      <w:r>
        <w:t>Der Bankkostenanteil beruht auf insgesamt 480 EUR jährlichen Kontoführungs- und Transaktionsentgelten. Die Rücklage ist auf dem Gemeinschaftskonto angelegt und wurde 2025 nicht für die Dachrechnung eingesetzt. Die Heizkosten enthalten nach Mitteilung des Messdienstes noch die vollen CO₂-Kosten; eine mietvertragliche Weiterverrechnung wurde durch die Verwaltung nicht vorgenommen.</w:t>
      </w:r>
    </w:p>
    <w:p>
      <w:r>
        <w:t>Diese Eigentümerunterlage enthält keine Abrechnung gegenüber Leela Nair und Juri Biber. Die WEG-Beschlüsse und der Mietvertrag sind verschiedene Unterlagen. Noura Selim hat den Export auf Wunsch des Eigentümers zusätzlich als Excel-Datei bereitgestellt.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WEG Abrechnung 2025 Wohnung 4</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