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Ottfried Knöpfle</w:t>
      </w:r>
    </w:p>
    <w:p>
      <w:pPr>
        <w:pStyle w:val="Title"/>
      </w:pPr>
      <w:r>
        <w:t>Rücklagenbeiträge und Bestände 2025</w:t>
      </w:r>
    </w:p>
    <w:p>
      <w:r>
        <w:t>14.09.2026</w:t>
      </w:r>
    </w:p>
    <w:p>
      <w:r>
        <w:t>Die Eigentümer haben für 2025 Beiträge zur Erhaltungsrücklage von insgesamt 8.000 EUR beschlossen und vollständig geleistet. Auf Wohnung 4 entfallen 1.000 EUR. Der Betrag ist als Beitrag auf dem Rücklagenkonto ausgewiesen und wurde nicht für eine Leistung verbraucht.</w:t>
      </w:r>
    </w:p>
    <w:p>
      <w:r>
        <w:t>Der Anfangsbestand von 24.000 EUR und die Jahresbeiträge ergeben einen Schlussbestand von 32.000 EUR. Im betrachteten Zeitraum sind weder Entnahmen noch Zinsen gebucht. Die Dachreparatur wurde aus dem Betriebskonto beglichen. Ein bloßer Eigentümerexport mit der Überschrift „Kosten und Beiträge“ fasst unterschiedliche Zahlungen zusammen und ersetzt deren Belege nicht.</w:t>
      </w:r>
    </w:p>
    <w:p>
      <w:r>
        <w:t>Die Kontounterlagen stehen zur Einsicht bei der Verwaltung bereit. Diese Aufstellung dient der Zuordnung im Verhältnis zwischen Gemeinschaft und Eigentümer.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Rücklagenbeiträge und Bestände 2025</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