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rFonts w:ascii="Times New Roman" w:hAnsi="Times New Roman"/>
          <w:color w:val="000000"/>
        </w:rPr>
        <w:t>Kooperationsvertrag Tonfenster und Blattwinkel</w:t>
      </w:r>
    </w:p>
    <w:p>
      <w:pPr>
        <w:widowControl/>
        <w:jc w:val="left"/>
      </w:pPr>
      <w:r>
        <w:rPr>
          <w:color w:val="000000"/>
        </w:rPr>
        <w:t>Vorschlag von Ingo Wers, 28. September 2026. Noch nicht unterschrieben.</w:t>
      </w:r>
    </w:p>
    <w:p>
      <w:pPr>
        <w:pStyle w:val="Heading2"/>
        <w:widowControl/>
      </w:pPr>
      <w:r>
        <w:rPr>
          <w:rFonts w:ascii="Times New Roman" w:hAnsi="Times New Roman"/>
          <w:color w:val="000000"/>
        </w:rPr>
        <w:t>1. Vertragspartner und Fläche</w:t>
      </w:r>
    </w:p>
    <w:p>
      <w:pPr>
        <w:widowControl/>
        <w:jc w:val="left"/>
      </w:pPr>
      <w:r>
        <w:rPr>
          <w:color w:val="000000"/>
        </w:rPr>
        <w:t>Blattwinkel Buchhandel GmbH, Kantenweg 9, 79106 Freiburg, vertreten durch Geschäftsführer Ingo Wers, überlässt Mara Ruhland, Tonfenster Keramik, Brennofenweg 6, 79108 Freiburg, die linke Verkaufsecke im Buchladen. Diese umfasst ungefähr 18 m². Hinzu kommt das sechs m² große Schaufenster links vom Eingang. Die gesamte Ladenfläche beträgt 110 m². Ein gesonderter Eingang besteht nicht.</w:t>
      </w:r>
    </w:p>
    <w:p>
      <w:pPr>
        <w:widowControl/>
        <w:jc w:val="left"/>
      </w:pPr>
      <w:r>
        <w:rPr>
          <w:color w:val="000000"/>
        </w:rPr>
        <w:t>Die Kooperation beginnt am 1. November 2026 und läuft zunächst zwei Jahre. Mara darf während der Ladenöffnungszeiten ihre Waren präsentieren. Sie erhält einen Schlüssel und darf samstags eigene Workshops abhalten. Der Buchladen muss während dieser Workshops nicht mit Personal besetzt sein. Eine Zustimmung des Hauseigentümers wird bei Bedarf später eingeholt.</w:t>
      </w:r>
    </w:p>
    <w:p>
      <w:pPr>
        <w:pStyle w:val="Heading2"/>
        <w:widowControl/>
      </w:pPr>
      <w:r>
        <w:rPr>
          <w:rFonts w:ascii="Times New Roman" w:hAnsi="Times New Roman"/>
          <w:color w:val="000000"/>
        </w:rPr>
        <w:t>2. Waren und Verkauf</w:t>
      </w:r>
    </w:p>
    <w:p>
      <w:pPr>
        <w:widowControl/>
        <w:jc w:val="left"/>
      </w:pPr>
      <w:r>
        <w:rPr>
          <w:color w:val="000000"/>
        </w:rPr>
        <w:t>Mara liefert die Keramik nach eigener Auswahl und ergänzt den Bestand regelmäßig. Die Waren bleiben bis zum Verkauf ihr Eigentum. Blattwinkel verkauft im eigenen Namen an die Kunden und nimmt den Verkaufspreis an der gemeinsamen Kasse entgegen. Auf Kassenbelegen erscheint ausschließlich Blattwinkel. Im Schaufenster steht Tonfenster.</w:t>
      </w:r>
    </w:p>
    <w:p>
      <w:pPr>
        <w:widowControl/>
        <w:jc w:val="left"/>
      </w:pPr>
      <w:r>
        <w:rPr>
          <w:color w:val="000000"/>
        </w:rPr>
        <w:t>Mara ist für sämtliche Kundenreklamationen zuständig. Blattwinkel darf Waren zurücknehmen und den vollen Verkaufspreis auszahlen. Alle Rücknahmen werden ohne Fristbegrenzung mit Maras nächster Abrechnung verrechnet. Bei Diebstahl oder Bruch trägt Mara das Risiko, auch wenn ein Mitarbeiter des Buchladens die Ware fallen lässt.</w:t>
      </w:r>
    </w:p>
    <w:p>
      <w:pPr>
        <w:pStyle w:val="Heading2"/>
        <w:widowControl/>
      </w:pPr>
      <w:r>
        <w:rPr>
          <w:rFonts w:ascii="Times New Roman" w:hAnsi="Times New Roman"/>
          <w:color w:val="000000"/>
        </w:rPr>
        <w:t>3. Vergütung und Abrechnung</w:t>
      </w:r>
    </w:p>
    <w:p>
      <w:pPr>
        <w:widowControl/>
        <w:jc w:val="left"/>
      </w:pPr>
      <w:r>
        <w:rPr>
          <w:color w:val="000000"/>
        </w:rPr>
        <w:t>Mara zahlt monatlich 480 EUR netto zuzüglich Umsatzsteuer. Hinzu kommen 15 Prozent der an der Kasse erfassten Bruttoumsätze. Diese Vergütung wird ebenfalls zuzüglich Umsatzsteuer abgerechnet. Die Auszahlung an Mara erfolgt quartalsweise nach Abzug der Vergütung und aller sonstigen Kosten. Eine getrennte Abrechnung für das Schaufenster findet nicht statt.</w:t>
      </w:r>
    </w:p>
    <w:p>
      <w:pPr>
        <w:widowControl/>
        <w:jc w:val="left"/>
      </w:pPr>
      <w:r>
        <w:rPr>
          <w:color w:val="000000"/>
        </w:rPr>
        <w:t>Die Kasse des Buchladens ist maßgeblich. Mara kann die Auswertung auf Anfrage im Büro ansehen. Barauszahlungen und Gutscheine werden nachträglich handschriftlich ergänzt. Eine feste Frist für die Abrechnung wird nicht vereinbart. Kartengebühren gehen zu Lasten von Mara.</w:t>
      </w:r>
    </w:p>
    <w:p>
      <w:pPr>
        <w:pStyle w:val="Heading2"/>
        <w:pageBreakBefore/>
        <w:widowControl/>
      </w:pPr>
      <w:r>
        <w:rPr>
          <w:rFonts w:ascii="Times New Roman" w:hAnsi="Times New Roman"/>
          <w:color w:val="000000"/>
        </w:rPr>
        <w:t>4. Werbung und Namen</w:t>
      </w:r>
    </w:p>
    <w:p>
      <w:pPr>
        <w:widowControl/>
        <w:jc w:val="left"/>
      </w:pPr>
      <w:r>
        <w:rPr>
          <w:color w:val="000000"/>
        </w:rPr>
        <w:t>Blattwinkel darf den Namen Tonfenster sowie Maras Produktfotos für die gemeinsame Werbung nutzen. Mara stimmt der Verwendung für spätere Filialen zu. Bilddateien liefert sie in druckfähiger Qualität. Eine Freigabe einzelner Werbemaßnahmen ist nicht erforderlich. Blattwinkel darf Angebote und Rabatte für die Keramik selbst festlegen.</w:t>
      </w:r>
    </w:p>
    <w:p>
      <w:pPr>
        <w:pStyle w:val="Heading2"/>
        <w:widowControl/>
      </w:pPr>
      <w:r>
        <w:rPr>
          <w:rFonts w:ascii="Times New Roman" w:hAnsi="Times New Roman"/>
          <w:color w:val="000000"/>
        </w:rPr>
        <w:t>5. Ende und Herausgabe</w:t>
      </w:r>
    </w:p>
    <w:p>
      <w:pPr>
        <w:widowControl/>
        <w:jc w:val="left"/>
      </w:pPr>
      <w:r>
        <w:rPr>
          <w:color w:val="000000"/>
        </w:rPr>
        <w:t>Beide Seiten können mit einem Monat Frist kündigen. Mara holt alle nicht verkauften Waren innerhalb von sieben Tagen ab. Danach kann Blattwinkel die Waren verkaufen oder entsorgen. Guthaben werden mit der nächsten Quartalsabrechnung ausgezahlt. Eine gesonderte Bestandsaufnahme bei Ende der Zusammenarbeit ist nicht erforderlich.</w:t>
      </w:r>
    </w:p>
    <w:p>
      <w:pPr>
        <w:pStyle w:val="Heading2"/>
        <w:widowControl/>
      </w:pPr>
      <w:r>
        <w:rPr>
          <w:rFonts w:ascii="Times New Roman" w:hAnsi="Times New Roman"/>
          <w:color w:val="000000"/>
        </w:rPr>
        <w:t>6. Abschluss</w:t>
      </w:r>
    </w:p>
    <w:p>
      <w:pPr>
        <w:widowControl/>
        <w:jc w:val="left"/>
      </w:pPr>
      <w:r>
        <w:rPr>
          <w:color w:val="000000"/>
        </w:rPr>
        <w:t>Dieser Vertrag ersetzt alle bisherigen Gespräche und E-Mails. Die Tagesvereinbarung vom 25. September wird auf die gesamte Laufzeit erstreckt. Anlagen sind nicht vorgesehen. Die unterschriebene Fassung soll am nächsten gemeinsamen Samstag ausgetauscht werden.</w:t>
      </w:r>
    </w:p>
    <w:sectPr w:rsidR="00FC693F" w:rsidRPr="0006063C" w:rsidSect="00034616">
      <w:footerReference w:type="default" r:id="rId9"/>
      <w:head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color w:val="2D4146"/>
        <w:sz w:val="20"/>
      </w:rPr>
      <w:t>Blattwinkel Buchhandel GmbH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59"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heme="majorHAnsi" w:eastAsiaTheme="majorEastAsia" w:hAnsiTheme="majorHAnsi" w:cstheme="majorBidi"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Klotzkette</dc:creator>
  <cp:keywords/>
  <dc:description>generated by python-docx</dc:description>
  <cp:lastModifiedBy>Klotzkette</cp:lastModifiedBy>
  <cp:revision>1</cp:revision>
  <dcterms:created xsi:type="dcterms:W3CDTF">2013-12-23T23:15:00Z</dcterms:created>
  <dcterms:modified xsi:type="dcterms:W3CDTF">2013-12-23T23:15:00Z</dcterms:modified>
  <cp:category/>
</cp:coreProperties>
</file>