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Lieferschein Tonfenster an Blattwinkel</w:t>
      </w:r>
    </w:p>
    <w:p>
      <w:pPr>
        <w:widowControl/>
        <w:jc w:val="left"/>
      </w:pPr>
      <w:r>
        <w:rPr>
          <w:color w:val="000000"/>
        </w:rPr>
        <w:t>Mara Ruhland | Tonfenster Keramik | Brennofenweg 6 | 79108 Freiburg</w:t>
      </w:r>
    </w:p>
    <w:p>
      <w:pPr>
        <w:widowControl/>
        <w:jc w:val="left"/>
      </w:pPr>
      <w:r>
        <w:rPr>
          <w:color w:val="000000"/>
        </w:rPr>
        <w:t>Empfänger: Blattwinkel Buchhandel GmbH, Kantenweg 9, 79106 Freiburg</w:t>
      </w:r>
    </w:p>
    <w:p>
      <w:pPr>
        <w:widowControl/>
        <w:jc w:val="left"/>
      </w:pPr>
      <w:r>
        <w:rPr>
          <w:color w:val="000000"/>
        </w:rPr>
        <w:t>Lieferschein TF-L-260925 | 25. September 2026, 15:50 Uhr</w:t>
      </w:r>
    </w:p>
    <w:p>
      <w:pPr>
        <w:widowControl/>
        <w:jc w:val="left"/>
      </w:pPr>
      <w:r>
        <w:rPr>
          <w:color w:val="000000"/>
        </w:rPr>
        <w:t>Übergabe durch Mara Ruhland an Benno Hörter. Lieferung zur Präsentation beim Verkaufstag am 26. September, kein Warenankauf durch Blattwinkel. Die empfohlenen Endkundenpreise enthalten 19 Prozent Umsatzsteuer. Die Keramikstücke tragen die unten angegebenen Artikelaufkleber.</w:t>
      </w:r>
    </w:p>
    <w:tbl>
      <w:tblPr>
        <w:tblStyle w:val="TableGrid"/>
        <w:tblW w:type="auto" w:w="0"/>
        <w:tblLayout w:type="fixed"/>
        <w:tblLook w:firstColumn="1" w:firstRow="1" w:lastColumn="0" w:lastRow="0" w:noHBand="0" w:noVBand="1" w:val="04A0"/>
      </w:tblPr>
      <w:tblGrid>
        <w:gridCol w:w="1134"/>
        <w:gridCol w:w="3969"/>
        <w:gridCol w:w="1134"/>
        <w:gridCol w:w="2835"/>
      </w:tblGrid>
      <w:tr>
        <w:trPr>
          <w:cantSplit/>
          <w:tblHeader/>
          <w:cantSplit/>
          <w:tblHeader/>
          <w:cantSplit/>
          <w:tblHeader/>
        </w:trPr>
        <w:tc>
          <w:tcPr>
            <w:tcW w:type="dxa" w:w="1134"/>
          </w:tcPr>
          <w:p>
            <w:r>
              <w:rPr>
                <w:rFonts w:ascii="Times New Roman" w:hAnsi="Times New Roman"/>
                <w:b/>
                <w:sz w:val="20"/>
              </w:rPr>
              <w:t>Artikel</w:t>
            </w:r>
          </w:p>
        </w:tc>
        <w:tc>
          <w:tcPr>
            <w:tcW w:type="dxa" w:w="3969"/>
          </w:tcPr>
          <w:p>
            <w:r>
              <w:rPr>
                <w:rFonts w:ascii="Times New Roman" w:hAnsi="Times New Roman"/>
                <w:b/>
                <w:sz w:val="20"/>
              </w:rPr>
              <w:t>Bezeichnung</w:t>
            </w:r>
          </w:p>
        </w:tc>
        <w:tc>
          <w:tcPr>
            <w:tcW w:type="dxa" w:w="1134"/>
          </w:tcPr>
          <w:p>
            <w:r>
              <w:rPr>
                <w:rFonts w:ascii="Times New Roman" w:hAnsi="Times New Roman"/>
                <w:b/>
                <w:sz w:val="20"/>
              </w:rPr>
              <w:t>Stück</w:t>
            </w:r>
          </w:p>
        </w:tc>
        <w:tc>
          <w:tcPr>
            <w:tcW w:type="dxa" w:w="2835"/>
          </w:tcPr>
          <w:p>
            <w:r>
              <w:rPr>
                <w:rFonts w:ascii="Times New Roman" w:hAnsi="Times New Roman"/>
                <w:b/>
                <w:sz w:val="20"/>
              </w:rPr>
              <w:t>Endkundenpreis je Stück EUR</w:t>
            </w:r>
          </w:p>
        </w:tc>
      </w:tr>
      <w:tr>
        <w:trPr>
          <w:cantSplit/>
          <w:cantSplit/>
          <w:cantSplit/>
        </w:trPr>
        <w:tc>
          <w:tcPr>
            <w:tcW w:type="dxa" w:w="1134"/>
          </w:tcPr>
          <w:p>
            <w:r>
              <w:rPr>
                <w:rFonts w:ascii="Times New Roman" w:hAnsi="Times New Roman"/>
                <w:sz w:val="20"/>
              </w:rPr>
              <w:t>TF-01</w:t>
            </w:r>
          </w:p>
        </w:tc>
        <w:tc>
          <w:tcPr>
            <w:tcW w:type="dxa" w:w="3969"/>
          </w:tcPr>
          <w:p>
            <w:r>
              <w:rPr>
                <w:rFonts w:ascii="Times New Roman" w:hAnsi="Times New Roman"/>
                <w:sz w:val="20"/>
              </w:rPr>
              <w:t>Becher weiß, 250 ml</w:t>
            </w:r>
          </w:p>
        </w:tc>
        <w:tc>
          <w:tcPr>
            <w:tcW w:type="dxa" w:w="1134"/>
          </w:tcPr>
          <w:p>
            <w:r>
              <w:rPr>
                <w:rFonts w:ascii="Times New Roman" w:hAnsi="Times New Roman"/>
                <w:sz w:val="20"/>
              </w:rPr>
              <w:t>8</w:t>
            </w:r>
          </w:p>
        </w:tc>
        <w:tc>
          <w:tcPr>
            <w:tcW w:type="dxa" w:w="2835"/>
          </w:tcPr>
          <w:p>
            <w:r>
              <w:rPr>
                <w:rFonts w:ascii="Times New Roman" w:hAnsi="Times New Roman"/>
                <w:sz w:val="20"/>
              </w:rPr>
              <w:t>23,80</w:t>
            </w:r>
          </w:p>
        </w:tc>
      </w:tr>
      <w:tr>
        <w:trPr>
          <w:cantSplit/>
          <w:cantSplit/>
          <w:cantSplit/>
        </w:trPr>
        <w:tc>
          <w:tcPr>
            <w:tcW w:type="dxa" w:w="1134"/>
          </w:tcPr>
          <w:p>
            <w:r>
              <w:rPr>
                <w:rFonts w:ascii="Times New Roman" w:hAnsi="Times New Roman"/>
                <w:sz w:val="20"/>
              </w:rPr>
              <w:t>TF-02</w:t>
            </w:r>
          </w:p>
        </w:tc>
        <w:tc>
          <w:tcPr>
            <w:tcW w:type="dxa" w:w="3969"/>
          </w:tcPr>
          <w:p>
            <w:r>
              <w:rPr>
                <w:rFonts w:ascii="Times New Roman" w:hAnsi="Times New Roman"/>
                <w:sz w:val="20"/>
              </w:rPr>
              <w:t>Becher moosgrün, 250 ml</w:t>
            </w:r>
          </w:p>
        </w:tc>
        <w:tc>
          <w:tcPr>
            <w:tcW w:type="dxa" w:w="1134"/>
          </w:tcPr>
          <w:p>
            <w:r>
              <w:rPr>
                <w:rFonts w:ascii="Times New Roman" w:hAnsi="Times New Roman"/>
                <w:sz w:val="20"/>
              </w:rPr>
              <w:t>7</w:t>
            </w:r>
          </w:p>
        </w:tc>
        <w:tc>
          <w:tcPr>
            <w:tcW w:type="dxa" w:w="2835"/>
          </w:tcPr>
          <w:p>
            <w:r>
              <w:rPr>
                <w:rFonts w:ascii="Times New Roman" w:hAnsi="Times New Roman"/>
                <w:sz w:val="20"/>
              </w:rPr>
              <w:t>23,80</w:t>
            </w:r>
          </w:p>
        </w:tc>
      </w:tr>
      <w:tr>
        <w:trPr>
          <w:cantSplit/>
          <w:cantSplit/>
          <w:cantSplit/>
        </w:trPr>
        <w:tc>
          <w:tcPr>
            <w:tcW w:type="dxa" w:w="1134"/>
          </w:tcPr>
          <w:p>
            <w:r>
              <w:rPr>
                <w:rFonts w:ascii="Times New Roman" w:hAnsi="Times New Roman"/>
                <w:sz w:val="20"/>
              </w:rPr>
              <w:t>TF-03</w:t>
            </w:r>
          </w:p>
        </w:tc>
        <w:tc>
          <w:tcPr>
            <w:tcW w:type="dxa" w:w="3969"/>
          </w:tcPr>
          <w:p>
            <w:r>
              <w:rPr>
                <w:rFonts w:ascii="Times New Roman" w:hAnsi="Times New Roman"/>
                <w:sz w:val="20"/>
              </w:rPr>
              <w:t>Vase schmal, blau</w:t>
            </w:r>
          </w:p>
        </w:tc>
        <w:tc>
          <w:tcPr>
            <w:tcW w:type="dxa" w:w="1134"/>
          </w:tcPr>
          <w:p>
            <w:r>
              <w:rPr>
                <w:rFonts w:ascii="Times New Roman" w:hAnsi="Times New Roman"/>
                <w:sz w:val="20"/>
              </w:rPr>
              <w:t>4</w:t>
            </w:r>
          </w:p>
        </w:tc>
        <w:tc>
          <w:tcPr>
            <w:tcW w:type="dxa" w:w="2835"/>
          </w:tcPr>
          <w:p>
            <w:r>
              <w:rPr>
                <w:rFonts w:ascii="Times New Roman" w:hAnsi="Times New Roman"/>
                <w:sz w:val="20"/>
              </w:rPr>
              <w:t>59,50</w:t>
            </w:r>
          </w:p>
        </w:tc>
      </w:tr>
      <w:tr>
        <w:trPr>
          <w:cantSplit/>
          <w:cantSplit/>
          <w:cantSplit/>
        </w:trPr>
        <w:tc>
          <w:tcPr>
            <w:tcW w:type="dxa" w:w="1134"/>
          </w:tcPr>
          <w:p>
            <w:r>
              <w:rPr>
                <w:rFonts w:ascii="Times New Roman" w:hAnsi="Times New Roman"/>
                <w:sz w:val="20"/>
              </w:rPr>
              <w:t>TF-04</w:t>
            </w:r>
          </w:p>
        </w:tc>
        <w:tc>
          <w:tcPr>
            <w:tcW w:type="dxa" w:w="3969"/>
          </w:tcPr>
          <w:p>
            <w:r>
              <w:rPr>
                <w:rFonts w:ascii="Times New Roman" w:hAnsi="Times New Roman"/>
                <w:sz w:val="20"/>
              </w:rPr>
              <w:t>Schale klein, natur</w:t>
            </w:r>
          </w:p>
        </w:tc>
        <w:tc>
          <w:tcPr>
            <w:tcW w:type="dxa" w:w="1134"/>
          </w:tcPr>
          <w:p>
            <w:r>
              <w:rPr>
                <w:rFonts w:ascii="Times New Roman" w:hAnsi="Times New Roman"/>
                <w:sz w:val="20"/>
              </w:rPr>
              <w:t>6</w:t>
            </w:r>
          </w:p>
        </w:tc>
        <w:tc>
          <w:tcPr>
            <w:tcW w:type="dxa" w:w="2835"/>
          </w:tcPr>
          <w:p>
            <w:r>
              <w:rPr>
                <w:rFonts w:ascii="Times New Roman" w:hAnsi="Times New Roman"/>
                <w:sz w:val="20"/>
              </w:rPr>
              <w:t>35,70</w:t>
            </w:r>
          </w:p>
        </w:tc>
      </w:tr>
      <w:tr>
        <w:trPr>
          <w:cantSplit/>
          <w:cantSplit/>
          <w:cantSplit/>
        </w:trPr>
        <w:tc>
          <w:tcPr>
            <w:tcW w:type="dxa" w:w="1134"/>
          </w:tcPr>
          <w:p>
            <w:r>
              <w:rPr>
                <w:rFonts w:ascii="Times New Roman" w:hAnsi="Times New Roman"/>
                <w:sz w:val="20"/>
              </w:rPr>
              <w:t>TF-05</w:t>
            </w:r>
          </w:p>
        </w:tc>
        <w:tc>
          <w:tcPr>
            <w:tcW w:type="dxa" w:w="3969"/>
          </w:tcPr>
          <w:p>
            <w:r>
              <w:rPr>
                <w:rFonts w:ascii="Times New Roman" w:hAnsi="Times New Roman"/>
                <w:sz w:val="20"/>
              </w:rPr>
              <w:t>Teller 22 cm, grau</w:t>
            </w:r>
          </w:p>
        </w:tc>
        <w:tc>
          <w:tcPr>
            <w:tcW w:type="dxa" w:w="1134"/>
          </w:tcPr>
          <w:p>
            <w:r>
              <w:rPr>
                <w:rFonts w:ascii="Times New Roman" w:hAnsi="Times New Roman"/>
                <w:sz w:val="20"/>
              </w:rPr>
              <w:t>5</w:t>
            </w:r>
          </w:p>
        </w:tc>
        <w:tc>
          <w:tcPr>
            <w:tcW w:type="dxa" w:w="2835"/>
          </w:tcPr>
          <w:p>
            <w:r>
              <w:rPr>
                <w:rFonts w:ascii="Times New Roman" w:hAnsi="Times New Roman"/>
                <w:sz w:val="20"/>
              </w:rPr>
              <w:t>29,75</w:t>
            </w:r>
          </w:p>
        </w:tc>
      </w:tr>
      <w:tr>
        <w:trPr>
          <w:cantSplit/>
          <w:cantSplit/>
          <w:cantSplit/>
        </w:trPr>
        <w:tc>
          <w:tcPr>
            <w:tcW w:type="dxa" w:w="1134"/>
          </w:tcPr>
          <w:p>
            <w:r>
              <w:rPr>
                <w:rFonts w:ascii="Times New Roman" w:hAnsi="Times New Roman"/>
                <w:sz w:val="20"/>
              </w:rPr>
              <w:t>TF-06</w:t>
            </w:r>
          </w:p>
        </w:tc>
        <w:tc>
          <w:tcPr>
            <w:tcW w:type="dxa" w:w="3969"/>
          </w:tcPr>
          <w:p>
            <w:r>
              <w:rPr>
                <w:rFonts w:ascii="Times New Roman" w:hAnsi="Times New Roman"/>
                <w:sz w:val="20"/>
              </w:rPr>
              <w:t>Milchkrug 300 ml</w:t>
            </w:r>
          </w:p>
        </w:tc>
        <w:tc>
          <w:tcPr>
            <w:tcW w:type="dxa" w:w="1134"/>
          </w:tcPr>
          <w:p>
            <w:r>
              <w:rPr>
                <w:rFonts w:ascii="Times New Roman" w:hAnsi="Times New Roman"/>
                <w:sz w:val="20"/>
              </w:rPr>
              <w:t>3</w:t>
            </w:r>
          </w:p>
        </w:tc>
        <w:tc>
          <w:tcPr>
            <w:tcW w:type="dxa" w:w="2835"/>
          </w:tcPr>
          <w:p>
            <w:r>
              <w:rPr>
                <w:rFonts w:ascii="Times New Roman" w:hAnsi="Times New Roman"/>
                <w:sz w:val="20"/>
              </w:rPr>
              <w:t>41,65</w:t>
            </w:r>
          </w:p>
        </w:tc>
      </w:tr>
      <w:tr>
        <w:trPr>
          <w:cantSplit/>
          <w:cantSplit/>
          <w:cantSplit/>
        </w:trPr>
        <w:tc>
          <w:tcPr>
            <w:tcW w:type="dxa" w:w="1134"/>
          </w:tcPr>
          <w:p>
            <w:r>
              <w:rPr>
                <w:rFonts w:ascii="Times New Roman" w:hAnsi="Times New Roman"/>
                <w:sz w:val="20"/>
              </w:rPr>
              <w:t>TF-07</w:t>
            </w:r>
          </w:p>
        </w:tc>
        <w:tc>
          <w:tcPr>
            <w:tcW w:type="dxa" w:w="3969"/>
          </w:tcPr>
          <w:p>
            <w:r>
              <w:rPr>
                <w:rFonts w:ascii="Times New Roman" w:hAnsi="Times New Roman"/>
                <w:sz w:val="20"/>
              </w:rPr>
              <w:t>Dose mit Deckel, weiß</w:t>
            </w:r>
          </w:p>
        </w:tc>
        <w:tc>
          <w:tcPr>
            <w:tcW w:type="dxa" w:w="1134"/>
          </w:tcPr>
          <w:p>
            <w:r>
              <w:rPr>
                <w:rFonts w:ascii="Times New Roman" w:hAnsi="Times New Roman"/>
                <w:sz w:val="20"/>
              </w:rPr>
              <w:t>4</w:t>
            </w:r>
          </w:p>
        </w:tc>
        <w:tc>
          <w:tcPr>
            <w:tcW w:type="dxa" w:w="2835"/>
          </w:tcPr>
          <w:p>
            <w:r>
              <w:rPr>
                <w:rFonts w:ascii="Times New Roman" w:hAnsi="Times New Roman"/>
                <w:sz w:val="20"/>
              </w:rPr>
              <w:t>47,60</w:t>
            </w:r>
          </w:p>
        </w:tc>
      </w:tr>
      <w:tr>
        <w:trPr>
          <w:cantSplit/>
          <w:cantSplit/>
          <w:cantSplit/>
        </w:trPr>
        <w:tc>
          <w:tcPr>
            <w:tcW w:type="dxa" w:w="1134"/>
          </w:tcPr>
          <w:p>
            <w:r>
              <w:rPr>
                <w:rFonts w:ascii="Times New Roman" w:hAnsi="Times New Roman"/>
                <w:sz w:val="20"/>
              </w:rPr>
              <w:t>TF-08</w:t>
            </w:r>
          </w:p>
        </w:tc>
        <w:tc>
          <w:tcPr>
            <w:tcW w:type="dxa" w:w="3969"/>
          </w:tcPr>
          <w:p>
            <w:r>
              <w:rPr>
                <w:rFonts w:ascii="Times New Roman" w:hAnsi="Times New Roman"/>
                <w:sz w:val="20"/>
              </w:rPr>
              <w:t>Kerzenhalter, grün</w:t>
            </w:r>
          </w:p>
        </w:tc>
        <w:tc>
          <w:tcPr>
            <w:tcW w:type="dxa" w:w="1134"/>
          </w:tcPr>
          <w:p>
            <w:r>
              <w:rPr>
                <w:rFonts w:ascii="Times New Roman" w:hAnsi="Times New Roman"/>
                <w:sz w:val="20"/>
              </w:rPr>
              <w:t>4</w:t>
            </w:r>
          </w:p>
        </w:tc>
        <w:tc>
          <w:tcPr>
            <w:tcW w:type="dxa" w:w="2835"/>
          </w:tcPr>
          <w:p>
            <w:r>
              <w:rPr>
                <w:rFonts w:ascii="Times New Roman" w:hAnsi="Times New Roman"/>
                <w:sz w:val="20"/>
              </w:rPr>
              <w:t>17,85</w:t>
            </w:r>
          </w:p>
        </w:tc>
      </w:tr>
    </w:tbl>
    <w:p>
      <w:pPr>
        <w:widowControl/>
        <w:jc w:val="left"/>
      </w:pPr>
      <w:r>
        <w:rPr>
          <w:color w:val="000000"/>
        </w:rPr>
        <w:t>Gesamt: 41 Stück. Zwei Kartons mit Bechern, ein Karton Vasen, zwei Kartons übrige Ware. Die vier blauen Vasen wurden einzeln ausgepackt und ohne sichtbare Beschädigung übergeben. Ein TF-01-Becher hat einen kleinen Brennpunkt am Boden; Mara hat erklärt, das sei kein Riss. Der Becher wurde nicht als zweite Wahl ausgezeichnet.</w:t>
      </w:r>
    </w:p>
    <w:p>
      <w:pPr>
        <w:widowControl/>
        <w:jc w:val="left"/>
      </w:pPr>
      <w:r>
        <w:rPr>
          <w:color w:val="000000"/>
        </w:rPr>
        <w:t>Benno hat die Stückzahlen mitgezählt und den Lieferschein am 25. September um 16:05 Uhr gegengezeichnet. Ein späterer Verkauf oder eine Rücknahme ist auf diesem Lieferschein nicht eingetragen. Dafür wird der Kassenexport geführt. Der Nebenraum wird nach Ladenschluss abgeschlossen. Mara hat keinen Zugangsschlüssel erhalten.</w:t>
      </w:r>
    </w:p>
    <w:p>
      <w:pPr>
        <w:widowControl/>
        <w:jc w:val="left"/>
      </w:pPr>
      <w:r>
        <w:rPr>
          <w:color w:val="000000"/>
        </w:rPr>
        <w:t>Mara Ruhland | mara@tonfenster.example</w:t>
      </w:r>
    </w:p>
    <w:p>
      <w:pPr>
        <w:widowControl/>
        <w:jc w:val="left"/>
      </w:pPr>
      <w:r>
        <w:rPr>
          <w:color w:val="000000"/>
        </w:rPr>
        <w:t>Ablagevermerk 29.09.: Die Excel-Liste enthält den Lieferbestand und die späteren Kassenbewegungen getrennt. Noch keine abschließende Auszahlung erfolgt.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Mara Ruhland | Tonfenster Keramik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