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color w:val="000000"/>
        </w:rPr>
        <w:t>Softwarelizenzvertrag Pumpenfenster</w:t>
      </w:r>
    </w:p>
    <w:p>
      <w:pPr>
        <w:widowControl/>
        <w:jc w:val="left"/>
      </w:pPr>
      <w:r>
        <w:rPr>
          <w:color w:val="000000"/>
        </w:rPr>
        <w:t>Einkaufsfassung der Nordspange Anlagenservice GmbH vom 28. September 2026. Nicht unterzeichnet.</w:t>
      </w:r>
    </w:p>
    <w:p>
      <w:pPr>
        <w:pStyle w:val="Heading2"/>
        <w:widowControl/>
      </w:pPr>
      <w:r>
        <w:rPr>
          <w:rFonts w:ascii="Times New Roman" w:hAnsi="Times New Roman"/>
          <w:color w:val="000000"/>
        </w:rPr>
        <w:t>1. Parteien und Lieferung</w:t>
      </w:r>
    </w:p>
    <w:p>
      <w:pPr>
        <w:widowControl/>
        <w:jc w:val="left"/>
      </w:pPr>
      <w:r>
        <w:rPr>
          <w:color w:val="000000"/>
        </w:rPr>
        <w:t>Die Taktfaden Software GmbH, Turbinenbogen 8, 28217 Bremen, vertreten durch Geschäftsführer Jaro Kessner, liefert der Nordspange Anlagenservice GmbH, Pumpenhof 16, 28197 Bremen, vertreten durch Geschäftsführer Dennis Uhlenbruch, die Software Pumpenfenster 2.4 einschließlich Quelltext, Installationsdateien und vollständiger Dokumentation. Die Lieferung erfolgt am 15. Oktober 2026 auf einen Rechner der Bestellerin. Der Anbieter installiert und schult an allen vier Standorten.</w:t>
      </w:r>
    </w:p>
    <w:p>
      <w:pPr>
        <w:pStyle w:val="Heading2"/>
        <w:widowControl/>
      </w:pPr>
      <w:r>
        <w:rPr>
          <w:rFonts w:ascii="Times New Roman" w:hAnsi="Times New Roman"/>
          <w:color w:val="000000"/>
        </w:rPr>
        <w:t>2. Nutzungsrechte</w:t>
      </w:r>
    </w:p>
    <w:p>
      <w:pPr>
        <w:widowControl/>
        <w:jc w:val="left"/>
      </w:pPr>
      <w:r>
        <w:rPr>
          <w:color w:val="000000"/>
        </w:rPr>
        <w:t>Mit Lieferung gehen alle Rechte an der Software ausschließlich und weltweit auf die Bestellerin über. Die Bestellerin darf die Software bearbeiten, vervielfältigen, an verbundene Unternehmen weitergeben und bei ihren Kunden verwenden. Die Anzahl der Benutzer ist nicht begrenzt. Das gilt auch für später hinzukommende Konzerngesellschaften. Der Anbieter darf die Software weiterhin zur Betreuung anderer Kunden einsetzen.</w:t>
      </w:r>
    </w:p>
    <w:p>
      <w:pPr>
        <w:widowControl/>
        <w:jc w:val="left"/>
      </w:pPr>
      <w:r>
        <w:rPr>
          <w:color w:val="000000"/>
        </w:rPr>
        <w:t>Die Bestellerin darf einen anderen Dienstleister mit Wartung und Weiterentwicklung beauftragen. Der Anbieter übergibt auf Verlangen jederzeit den aktuellen Quelltext einschließlich sämtlicher Bibliotheken und Zugangsdaten. Die Bestellerin darf Versionen unter eigenem Namen vertreiben. Ein zusätzliches Entgelt entsteht dadurch nicht.</w:t>
      </w:r>
    </w:p>
    <w:p>
      <w:pPr>
        <w:pStyle w:val="Heading2"/>
        <w:widowControl/>
      </w:pPr>
      <w:r>
        <w:rPr>
          <w:rFonts w:ascii="Times New Roman" w:hAnsi="Times New Roman"/>
          <w:color w:val="000000"/>
        </w:rPr>
        <w:t>3. Funktionsumfang und Abnahme</w:t>
      </w:r>
    </w:p>
    <w:p>
      <w:pPr>
        <w:widowControl/>
        <w:jc w:val="left"/>
      </w:pPr>
      <w:r>
        <w:rPr>
          <w:color w:val="000000"/>
        </w:rPr>
        <w:t>Die Software liest Pumpenmesswerte ein, ordnet diese einer Maschine zu und erstellt Wartungsberichte. Sämtliche vorhandenen Messgeräte der Bestellerin müssen angeschlossen werden können. Die Dateien aus den Standorten Bremen, Oldenburg, Hannover und Osnabrück sind ohne weitere Bearbeitung zu verarbeiten. Eine Abnahme findet statt, sobald der Einkauf schriftlich zustimmt. Die Verwendung im Tagesgeschäft gilt nicht als Abnahme.</w:t>
      </w:r>
    </w:p>
    <w:p>
      <w:pPr>
        <w:widowControl/>
        <w:jc w:val="left"/>
      </w:pPr>
      <w:r>
        <w:rPr>
          <w:color w:val="000000"/>
        </w:rPr>
        <w:t>Der Anbieter beseitigt sämtliche Störungen binnen vier Stunden nach Meldung, auch an Sonn- und Feiertagen. Für die Vertragslaufzeit werden alle Weiterentwicklungen und Anpassungen an neue Messgeräte kostenfrei geliefert. Die Anwendung muss ohne Internetverbindung weiterbetrieben werden können.</w:t>
      </w:r>
    </w:p>
    <w:p>
      <w:pPr>
        <w:pStyle w:val="Heading2"/>
        <w:pageBreakBefore/>
        <w:widowControl/>
      </w:pPr>
      <w:r>
        <w:rPr>
          <w:rFonts w:ascii="Times New Roman" w:hAnsi="Times New Roman"/>
          <w:color w:val="000000"/>
        </w:rPr>
        <w:t>4. Vergütung</w:t>
      </w:r>
    </w:p>
    <w:p>
      <w:pPr>
        <w:widowControl/>
        <w:jc w:val="left"/>
      </w:pPr>
      <w:r>
        <w:rPr>
          <w:color w:val="000000"/>
        </w:rPr>
        <w:t>Das Gesamtentgelt beträgt 22800 EUR netto zuzüglich Umsatzsteuer. Die Rechnung darf nach Abnahme gestellt werden und ist binnen 60 Tagen zahlbar. Reisekosten, Schulung, Installation und alle Wartungskosten sind mit dem Gesamtentgelt abgegolten. Eine laufende Supportpauschale wird nicht vereinbart.</w:t>
      </w:r>
    </w:p>
    <w:p>
      <w:pPr>
        <w:pStyle w:val="Heading2"/>
        <w:widowControl/>
      </w:pPr>
      <w:r>
        <w:rPr>
          <w:rFonts w:ascii="Times New Roman" w:hAnsi="Times New Roman"/>
          <w:color w:val="000000"/>
        </w:rPr>
        <w:t>5. Rechte Dritter und Haftung</w:t>
      </w:r>
    </w:p>
    <w:p>
      <w:pPr>
        <w:widowControl/>
        <w:jc w:val="left"/>
      </w:pPr>
      <w:r>
        <w:rPr>
          <w:color w:val="000000"/>
        </w:rPr>
        <w:t>Der Anbieter bestätigt, sämtliche Bestandteile selbst entwickelt zu haben. Er stellt die Bestellerin auf erstes Anfordern von Ansprüchen Dritter frei. Bei Ausfall ersetzt er auch entgangene Wartungsumsätze und Schäden der Kunden der Bestellerin ohne Betragsbegrenzung. Die Bestellerin kann diese Ansprüche direkt an den Anbieter abtreten.</w:t>
      </w:r>
    </w:p>
    <w:p>
      <w:pPr>
        <w:pStyle w:val="Heading2"/>
        <w:widowControl/>
      </w:pPr>
      <w:r>
        <w:rPr>
          <w:rFonts w:ascii="Times New Roman" w:hAnsi="Times New Roman"/>
          <w:color w:val="000000"/>
        </w:rPr>
        <w:t>6. Laufzeit und Vertragsende</w:t>
      </w:r>
    </w:p>
    <w:p>
      <w:pPr>
        <w:widowControl/>
        <w:jc w:val="left"/>
      </w:pPr>
      <w:r>
        <w:rPr>
          <w:color w:val="000000"/>
        </w:rPr>
        <w:t>Der Vertrag läuft zunächst zwölf Monate und verlängert sich jeweils um ein Jahr, wenn er nicht drei Monate zuvor gekündigt wird. Die Bestellerin darf jederzeit mit einem Monat Frist kündigen. Bereits eingeräumte Nutzungsrechte bleiben in jedem Fall bestehen. Nach Vertragsende werden alle Daten und Programmbestandteile im offenen Format herausgegeben.</w:t>
      </w:r>
    </w:p>
    <w:p>
      <w:pPr>
        <w:pStyle w:val="Heading2"/>
        <w:widowControl/>
      </w:pPr>
      <w:r>
        <w:rPr>
          <w:rFonts w:ascii="Times New Roman" w:hAnsi="Times New Roman"/>
          <w:color w:val="000000"/>
        </w:rPr>
        <w:t>7. Rangfolge</w:t>
      </w:r>
    </w:p>
    <w:p>
      <w:pPr>
        <w:widowControl/>
        <w:jc w:val="left"/>
      </w:pPr>
      <w:r>
        <w:rPr>
          <w:color w:val="000000"/>
        </w:rPr>
        <w:t>Diese Fassung geht dem Angebot TF-260924 und den E-Mails der technischen Ansprechpartner vor. Änderungen bedürfen der Bestätigung des Einkaufs. Anlagen sind derzeit nicht beigefügt. Ein Unterschriftstermin ist noch nicht vereinbart.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2D4146"/>
        <w:sz w:val="20"/>
      </w:rPr>
      <w:t>Nordspange Anlagenservice GmbH | Einkauf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