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color w:val="000000"/>
        </w:rPr>
        <w:t>Gründungsvereinbarung Suppenfaden</w:t>
      </w:r>
    </w:p>
    <w:p>
      <w:pPr>
        <w:widowControl/>
        <w:jc w:val="left"/>
      </w:pPr>
      <w:r>
        <w:rPr>
          <w:color w:val="000000"/>
        </w:rPr>
        <w:t>Von Timo Lenz am 26. September 2026 zusammengestellte Gesprächsfassung. Nicht unterzeichnet und noch nicht beim Notariat eingereicht.</w:t>
      </w:r>
    </w:p>
    <w:p>
      <w:pPr>
        <w:pStyle w:val="Heading2"/>
        <w:widowControl/>
      </w:pPr>
      <w:r>
        <w:rPr>
          <w:rFonts w:ascii="Times New Roman" w:hAnsi="Times New Roman"/>
          <w:color w:val="000000"/>
        </w:rPr>
        <w:t>1. Firma und Betrieb</w:t>
      </w:r>
    </w:p>
    <w:p>
      <w:pPr>
        <w:widowControl/>
        <w:jc w:val="left"/>
      </w:pPr>
      <w:r>
        <w:rPr>
          <w:color w:val="000000"/>
        </w:rPr>
        <w:t>Jana Böwer, Kochgassenbogen 7, 93053 Regensburg, und Timo Lenz, Donauwinkel 18, 93059 Regensburg, gründen die Suppenfaden UG mit Sitz in Regensburg. Das Geschäft umfasst Catering, Verkauf zubereiteter Speisen und die Organisation kleiner Veranstaltungen. Die Geschäftsadresse soll am Küchenhof 4, 93055 Regensburg, eingerichtet werden. Die Gesellschaft beginnt am 1. November 2026.</w:t>
      </w:r>
    </w:p>
    <w:p>
      <w:pPr>
        <w:pStyle w:val="Heading2"/>
        <w:widowControl/>
      </w:pPr>
      <w:r>
        <w:rPr>
          <w:rFonts w:ascii="Times New Roman" w:hAnsi="Times New Roman"/>
          <w:color w:val="000000"/>
        </w:rPr>
        <w:t>2. Kapital und Anteile</w:t>
      </w:r>
    </w:p>
    <w:p>
      <w:pPr>
        <w:widowControl/>
        <w:jc w:val="left"/>
      </w:pPr>
      <w:r>
        <w:rPr>
          <w:color w:val="000000"/>
        </w:rPr>
        <w:t>Das Stammkapital beträgt 1000 EUR. Jana übernimmt 70 Prozent, Timo 30 Prozent. Jana erbringt ihren Anteil durch den vorhandenen Kombidämpfer, den sie im April gekauft hat. Timo überweist 300 EUR auf das neue Konto. Der über Janas Kapitalanteil hinausgehende Gerätewert wird als jederzeit rückzahlbares Darlehen behandelt. Eine weitere Bareinzahlung Janas soll nicht erforderlich sein.</w:t>
      </w:r>
    </w:p>
    <w:p>
      <w:pPr>
        <w:widowControl/>
        <w:jc w:val="left"/>
      </w:pPr>
      <w:r>
        <w:rPr>
          <w:color w:val="000000"/>
        </w:rPr>
        <w:t>Beide sind sich einig, dass der Ofen einen Wert von 4400 EUR hat. Falls der Notar eine andere Form benötigt, ändern wir die Bezeichnung, nicht aber die wirtschaftliche Aufteilung. Über den Wert des übrigen Kleingeräts ist noch nicht gesprochen worden. Jana führt dazu eine Liste.</w:t>
      </w:r>
    </w:p>
    <w:p>
      <w:pPr>
        <w:pStyle w:val="Heading2"/>
        <w:widowControl/>
      </w:pPr>
      <w:r>
        <w:rPr>
          <w:rFonts w:ascii="Times New Roman" w:hAnsi="Times New Roman"/>
          <w:color w:val="000000"/>
        </w:rPr>
        <w:t>3. Geschäftsführung und Arbeit</w:t>
      </w:r>
    </w:p>
    <w:p>
      <w:pPr>
        <w:widowControl/>
        <w:jc w:val="left"/>
      </w:pPr>
      <w:r>
        <w:rPr>
          <w:color w:val="000000"/>
        </w:rPr>
        <w:t>Jana wird alleinige Geschäftsführerin und darf alle Geschäfte alleine abschließen. Timo kümmert sich um Verkauf und Organisation und darf ebenfalls Verträge bis 10000 EUR unterschreiben. Eine Eintragung für Timo soll nicht erforderlich sein. Beide arbeiten nach Bedarf mit. Für die ersten drei Monate erhält Jana 1800 EUR monatlich, Timo 600 EUR. Ob dies Gehalt oder Entnahme heißt, soll die Buchhaltung entscheiden.</w:t>
      </w:r>
    </w:p>
    <w:p>
      <w:pPr>
        <w:widowControl/>
        <w:jc w:val="left"/>
      </w:pPr>
      <w:r>
        <w:rPr>
          <w:color w:val="000000"/>
        </w:rPr>
        <w:t>Jana plant an vier Tagen in der Woche in der Küche zu sein. Timo behält vorerst seine Teilzeitstelle. Beide dürfen auch eigene Veranstaltungen übernehmen, sofern sie dafür die Küche bezahlen. Der Preis wird jeweils mündlich vereinbart.</w:t>
      </w:r>
    </w:p>
    <w:p>
      <w:pPr>
        <w:pStyle w:val="Heading2"/>
        <w:pageBreakBefore/>
        <w:widowControl/>
      </w:pPr>
      <w:r>
        <w:rPr>
          <w:rFonts w:ascii="Times New Roman" w:hAnsi="Times New Roman"/>
          <w:color w:val="000000"/>
        </w:rPr>
        <w:t>4. Entscheidungen und Gewinn</w:t>
      </w:r>
    </w:p>
    <w:p>
      <w:pPr>
        <w:widowControl/>
        <w:jc w:val="left"/>
      </w:pPr>
      <w:r>
        <w:rPr>
          <w:color w:val="000000"/>
        </w:rPr>
        <w:t>Beschlüsse erfolgen nach Anteilen. Jana entscheidet bei Meinungsverschiedenheiten abschließend. Für neue Gesellschafter ist Einstimmigkeit erforderlich. Der verbleibende Jahresgewinn wird vollständig im Februar nach Anteilen ausgezahlt. Eine feste Rücklage wird nicht gebildet, weil nur kleine Veranstaltungen durchgeführt werden.</w:t>
      </w:r>
    </w:p>
    <w:p>
      <w:pPr>
        <w:widowControl/>
        <w:jc w:val="left"/>
      </w:pPr>
      <w:r>
        <w:rPr>
          <w:color w:val="000000"/>
        </w:rPr>
        <w:t>Die Gesellschaft übernimmt sämtliche seit September angefallenen Gründungskosten und alle bereits von Jana bestellten Waren. Darunter fallen auch die private Kaution für die Küche und die erste Veranstaltung im November. Eine Begrenzung der Kosten ist nicht vorgesehen.</w:t>
      </w:r>
    </w:p>
    <w:p>
      <w:pPr>
        <w:pStyle w:val="Heading2"/>
        <w:widowControl/>
      </w:pPr>
      <w:r>
        <w:rPr>
          <w:rFonts w:ascii="Times New Roman" w:hAnsi="Times New Roman"/>
          <w:color w:val="000000"/>
        </w:rPr>
        <w:t>5. Ausscheiden</w:t>
      </w:r>
    </w:p>
    <w:p>
      <w:pPr>
        <w:widowControl/>
        <w:jc w:val="left"/>
      </w:pPr>
      <w:r>
        <w:rPr>
          <w:color w:val="000000"/>
        </w:rPr>
        <w:t>Jeder kann mit drei Monaten Frist kündigen. Der andere übernimmt die Anteile zum Nennwert. Timo darf seinen Anteil ohne weitere Zustimmung an seinen Bruder weitergeben. Stirbt ein Gesellschafter, tritt der verbleibende Gesellschafter in dessen Rechte ein und zahlt den Erben den Nennwert. Bei längerer Krankheit werden Aufgaben und Vergütung im Gespräch angepasst.</w:t>
      </w:r>
    </w:p>
    <w:p>
      <w:pPr>
        <w:pStyle w:val="Heading2"/>
        <w:widowControl/>
      </w:pPr>
      <w:r>
        <w:rPr>
          <w:rFonts w:ascii="Times New Roman" w:hAnsi="Times New Roman"/>
          <w:color w:val="000000"/>
        </w:rPr>
        <w:t>6. Weitere Unterlagen</w:t>
      </w:r>
    </w:p>
    <w:p>
      <w:pPr>
        <w:widowControl/>
        <w:jc w:val="left"/>
      </w:pPr>
      <w:r>
        <w:rPr>
          <w:color w:val="000000"/>
        </w:rPr>
        <w:t>Der Mietvertrag soll von Jana unterschrieben werden, damit die Küche frei bleibt. Nach Gründung wird einfach der Firmenname ausgetauscht. Die bisherigen Kundenangebote werden ebenfalls auf die Firma umgestellt. Dieser Text soll beim Notartermin als Grundlage dienen; ein Termin zur Unterzeichnung ist noch nicht bestätigt.</w:t>
      </w:r>
    </w:p>
    <w:sectPr w:rsidR="00FC693F" w:rsidRPr="0006063C" w:rsidSect="00034616">
      <w:footerReference w:type="default" r:id="rId9"/>
      <w:head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2D4146"/>
        <w:sz w:val="20"/>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