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29.07.2026 | NO-FH26-L430</w:t>
      </w:r>
    </w:p>
    <w:p>
      <w:pPr>
        <w:pStyle w:val="Title"/>
      </w:pPr>
      <w:r>
        <w:t>Vergabeunterlagen und Vertragsbedingungen</w:t>
      </w:r>
    </w:p>
    <w:p>
      <w:pPr>
        <w:pStyle w:val="Heading1"/>
      </w:pPr>
      <w:r>
        <w:t>1 Umfang der Unterlagen</w:t>
      </w:r>
    </w:p>
    <w:p>
      <w:r>
        <w:t>Die Ausschreibung besteht aus dieser Unterlage, dem Leistungsverzeichnis 04_lv_lueftung.xlsx und dem Angebotsformular 05_angebotsformular.docx. Verbindliche Antworten werden allen registrierten Unternehmen zeitgleich bereitgestellt. Mit dem Angebot sind das ausgefüllte Angebotsblatt einschließlich aller Einheitspreise und die Eigenerklärungen zur Eignung einzureichen. Ein inhaltsgleiches Angebotsblatt innerhalb der Kalkulationsdatei ist zulässig. Produktangaben dürfen auf einem zusätzlichen Blatt derselben Datei erfolgen. Preise sind in EUR netto mit zwei Nachkommastellen anzugeben. Mengen und Leistungsbeschreibungen dürfen nicht geändert werden.</w:t>
      </w:r>
    </w:p>
    <w:p>
      <w:pPr>
        <w:pStyle w:val="Heading1"/>
      </w:pPr>
      <w:r>
        <w:t>2 Technische Ausführungsgrundlage</w:t>
      </w:r>
    </w:p>
    <w:p>
      <w:r>
        <w:t>Das Gebäude ist eingeschossig mit Technikraum auf der nördlichen Nebenraumspange. Zu versorgen sind Umkleiden 1.800 m³/h, Schulung 2.400 m³/h, Werkstatt 900 m³/h und Nebenräume 900 m³/h. Die Fahrzeughalle erhält die zwei getrennten Abluftventilatoren. Die Abgasabsaugung an Fahrzeugen ist nicht Bestandteil dieses Loses. Der Technikraum hat ein nutzbares Innenmaß von 6,20 x 3,80 m und 2,80 m Höhe; die Einbringöffnung beträgt 1,70 x 2,10 m. Geräte sind erforderlichenfalls in transportfähigen Segmenten einzubringen. Vor dem Gerät verbleibt ein Wartungsgang von mindestens 0,90 m. Die bauseitige Aufstellfläche ist eben und tragfähig für 1.800 kg. Der Elektroauftragnehmer stellt 400 V/32 A sowie einen Netzwerkanschluss am Schaltschrank bereit. Sämtliche Anschlüsse innerhalb des Lüftungsgewerks sind einzukalkulieren.</w:t>
      </w:r>
    </w:p>
    <w:p>
      <w:pPr>
        <w:pStyle w:val="Heading1"/>
      </w:pPr>
      <w:r>
        <w:t>3 Leistungsabgrenzung und Mengen</w:t>
      </w:r>
    </w:p>
    <w:p>
      <w:r>
        <w:t>Das Leistungsverzeichnis umfasst 20 Positionen. Der Auftragnehmer schuldet jeweils Lieferung, Montage, Befestigung und betriebsfertigen Anschluss, soweit eine Position nicht ausdrücklich nur eine Dokumentations- oder Wartungsleistung beschreibt. Die Rechteckkanäle verlaufen oberhalb abgehängter Decken, Montagehöhe bis 3,20 m. Rundrohre verlaufen in Nebenräumen. Wanddurchbrüche werden bauseits nach rechtzeitiger Maßangabe hergestellt. Verschlüsse, eigene Abdichtungen und Brandschottungen gehören zu diesem Auftrag. Eine gesonderte Vergütung für Transport, Verpackung und übliche Hilfsmittel wird nicht vereinbart.</w:t>
      </w:r>
    </w:p>
    <w:p>
      <w:r>
        <w:br w:type="page"/>
      </w:r>
    </w:p>
    <w:p>
      <w:pPr>
        <w:pStyle w:val="Heading1"/>
      </w:pPr>
      <w:r>
        <w:t>4 Geräteangabe und technischer Nachweis</w:t>
      </w:r>
    </w:p>
    <w:p>
      <w:r>
        <w:t>Für Position 01.020 ist ein Hersteller und ein eindeutiger Typ mit dem Angebot zu benennen. Die Leistungsbeschreibung ist produktneutral; es gibt kein Leitfabrikat. Die Mindestwerte beziehen sich auf den Betriebspunkt 6.000 m³/h bei 600 Pa externem Druck. Für SFP gilt die Summe der elektrischen Aufnahmeleistung beider Ventilatoren bezogen auf den Luftvolumenstrom eines Luftstrangs. Herstellerdatenblatt und projektspezifische Auslegung sind auf Anforderung vorzulegen. Die Angabe eines gleichwertigen Fabrikats allein ersetzt keine eindeutige Typbezeichnung. Der Zugang für Wartung und Filtertausch muss bei den vorgegebenen Raummaßen erhalten bleiben.</w:t>
      </w:r>
    </w:p>
    <w:p>
      <w:pPr>
        <w:pStyle w:val="Heading1"/>
      </w:pPr>
      <w:r>
        <w:t>5 Eignungsunterlagen</w:t>
      </w:r>
    </w:p>
    <w:p>
      <w:r>
        <w:t>Die in Abschnitt 5 der Bekanntmachung festgelegten Mindestanforderungen gelten unverändert. Die Referenzerklärung muss erkennen lassen, ob der Bieter für die Gesamtanlage oder nur für Teilleistungen zuständig war. Eine Tätigkeit als Nachunternehmer ist kein Ausschlussgrund. Bei getrennter Erbringung von Montage und Inbetriebnahme ist der eigene Verantwortungsumfang darzustellen. Auftraggeberbestätigungen werden zunächst nicht verlangt. Die Vergabestelle kann Belege für bereits erklärte Tatsachen nachfordern und Angaben aufklären. Sie entscheidet über eine Nachforderung im Einzelfall; eine Änderung von Leistungsinhalt oder Angebotspreisen wird damit nicht eröffnet.</w:t>
      </w:r>
    </w:p>
    <w:p>
      <w:pPr>
        <w:pStyle w:val="Heading1"/>
      </w:pPr>
      <w:r>
        <w:t>6 Preisangaben und Wertung</w:t>
      </w:r>
    </w:p>
    <w:p>
      <w:r>
        <w:t>Jeder Einheitspreis muss die ausgeschriebene Leistung vollständig abdecken. Die Positionssumme ist Menge mal Einheitspreis, kaufmännisch auf Cent gerundet. Unbedingte Nachlässe sind als Prozentsatz auf die gesamte Nettosumme anzugeben. Skonti werden nicht gewertet. Umsatzsteuer ist gesondert mit 19 % auszuweisen. Preis ist das einzige Zuschlagskriterium. Eine rechnerische Rangfolge besagt noch nicht, dass ein Angebot technisch und hinsichtlich der Eignung berücksichtigt werden kann. Bei aufklärungsbedürftigen Preisabständen werden die betreffenden Kalkulationsbestandteile erläutert verlangt.</w:t>
      </w:r>
    </w:p>
    <w:p>
      <w:r>
        <w:br w:type="page"/>
      </w:r>
    </w:p>
    <w:p>
      <w:pPr>
        <w:pStyle w:val="Heading1"/>
      </w:pPr>
      <w:r>
        <w:t>7 Vertragsgrundlagen, Ausführung und Abnahme</w:t>
      </w:r>
    </w:p>
    <w:p>
      <w:r>
        <w:t>Vertragsbestandteile sind die VOB/B Ausgabe 2016 und die einschlägigen ATV der VOB/C Ausgabe 2019 einschließlich Ergänzungsband 2023. Für Widersprüche gilt die Rangfolge des Paragrafen 1 Absatz 2 VOB/B. Die nachfolgenden projektbezogenen Festlegungen ergänzen diese Vertragsbedingungen.</w:t>
      </w:r>
    </w:p>
    <w:p>
      <w:r>
        <w:t>Die Ausführung beginnt am 02.11.2026 und muss am 30.04.2027 einschließlich Messung und Inbetriebnahme abgeschlossen sein. Innerhalb von zehn Arbeitstagen nach Zuschlag ist ein abgestimmter Montageablaufplan vorzulegen. Ausführungszeichnungen und Einbaumaße sind vor Bestellung der Geräte freizugeben. Eine Freigabe ersetzt nicht die Verantwortung für die angebotene Beschaffenheit. Die Stadt verlangt eine förmliche Abnahme nach Paragraf 12 Absatz 4 VOB/B. Dabei werden die Funktion, die Bestandsunterlagen und die Einweisung geprüft; unwesentliche Mängel berechtigen nicht zur Abnahmeverweigerung. Für Mängelansprüche gilt Paragraf 13 VOB/B.</w:t>
      </w:r>
    </w:p>
    <w:p>
      <w:pPr>
        <w:pStyle w:val="Heading1"/>
      </w:pPr>
      <w:r>
        <w:t>8 Vergütung und Vertragsabwicklung</w:t>
      </w:r>
    </w:p>
    <w:p>
      <w:r>
        <w:t>Abrechnung und Vergütungsanpassungen richten sich nach Paragrafen 2 und 14 VOB/B. Ein unbedingter Nachlass gilt für alle Positionen. Änderungen und zusätzliche Leistungen richten sich nach Paragrafen 1 und 2 VOB/B; Anordnungen der Stadt und die Vergütungsabstimmung werden dokumentiert.</w:t>
      </w:r>
    </w:p>
    <w:p>
      <w:r>
        <w:t>Abschlags- und Schlussrechnungen sind mit Positionsnachweis und Aufmaß elektronisch an die Vergabestelle zu richten. Monatliche Abschlagszahlungen werden binnen 21 Kalendertagen nach Zugang der prüfbaren Aufstellung fällig. Die Schlusszahlung wird nach Prüfung und Feststellung fällig, spätestens innerhalb von 30 Kalendertagen nach Zugang der Schlussrechnung; im Übrigen gilt Paragraf 16 VOB/B. Vorauszahlungen, Sicherheiten und Vertragsstrafen werden nicht vereinbart. Die erste Wartung ist bereits im angebotenen Gesamtpreis enthalten und wird nach deren Durchführung abgerechnet.</w:t>
      </w:r>
    </w:p>
    <w:p>
      <w:pPr>
        <w:pStyle w:val="Heading1"/>
      </w:pPr>
      <w:r>
        <w:t>9 Personal und Unterauftragnehmer</w:t>
      </w:r>
    </w:p>
    <w:p>
      <w:r>
        <w:t>Der Auftragnehmer verpflichtet sich, die für seine Beschäftigten jeweils verbindlichen gesetzlichen und allgemeinverbindlichen tariflichen Mindestarbeitsbedingungen einzuhalten und diese Pflicht an eingesetzte Unterauftragnehmer weiterzugeben. Die angebotene Bauleitung muss während der Montage erreichbar sein. Ein Wechsel ist mit einer mindestens gleich erfahrenen Person rechtzeitig anzuzeigen. Der Auftragnehmer koordiniert seine Arbeiten mit den übrigen Gewerken, schützt benachbarte Bauteile und beseitigt eigene Abfälle. Für vom Auftraggeber bereitgestellte Anschlüsse und Flächen werden keine Umlagen erhoben. Behinderungen sind der Stadt nach Paragraf 6 Absatz 1 VOB/B unverzüglich schriftlich anzuzeigen; die Bauleitung erhält eine Kopie.</w:t>
      </w:r>
    </w:p>
    <w:p>
      <w:r>
        <w:t>Ausgegeben durch Mara Seidel, Zentrale Vergabestelle.</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Vergabeunterlagen und Vertragsbedingungen</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