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Sprechfeder Health Europe GmbH | Vertragsabteilung</w:t>
      </w:r>
    </w:p>
    <w:p>
      <w:r>
        <w:t>Nora Bergmann | Gesamtleitung IT</w:t>
      </w:r>
    </w:p>
    <w:p>
      <w:r>
        <w:t>24.09.2026</w:t>
      </w:r>
    </w:p>
    <w:p>
      <w:pPr>
        <w:pStyle w:val="Title"/>
      </w:pPr>
      <w:r>
        <w:t>Vereinbarung zur Verarbeitung im Auftrag Lieferantenentwurf</w:t>
      </w:r>
    </w:p>
    <w:p>
      <w:pPr>
        <w:pStyle w:val="Heading1"/>
        <w:widowControl/>
        <w:spacing w:before="160"/>
      </w:pPr>
      <w:r>
        <w:t>1 Parteien und Gegenstand</w:t>
      </w:r>
    </w:p>
    <w:p>
      <w:pPr>
        <w:widowControl/>
      </w:pPr>
      <w:r>
        <w:t>Die Sprechfeder Health Europe GmbH verarbeitet für die Klinikverbund Auenhöhe GmbH die vom Auftraggeber bereitgestellten Diktate, Transkripte und Briefentwürfe innerhalb der Anwendung Sprechfeder Clinical 2.4. Die Verarbeitung dient der Transkription und der Erstellung von Entwürfen. Der Auftraggeber bestimmt, welche Beschäftigten Inhalte einstellen und welche Ausgaben übernommen werden. Der Entwurf ist noch nicht unterzeichnet.</w:t>
      </w:r>
    </w:p>
    <w:p>
      <w:pPr>
        <w:pStyle w:val="Heading1"/>
        <w:widowControl/>
        <w:spacing w:before="160"/>
      </w:pPr>
      <w:r>
        <w:t>2 Daten und Verarbeitung</w:t>
      </w:r>
    </w:p>
    <w:p>
      <w:pPr>
        <w:widowControl/>
      </w:pPr>
      <w:r>
        <w:t>Die bereitgestellten Inhalte können Identitätsdaten, Kontaktdaten, Gesundheitsangaben und Angaben über behandelnde Beschäftigte enthalten. Sprachaufnahmen werden nach unserem Standardangebot sieben Tage, gespeicherte Entwürfe dreißig Tage aufbewahrt. Der Auftraggeber kann die Entwürfe vorher löschen. Betriebsprotokolle werden nach dem vorgesehenen Standard neunzig Tage aufbewahrt. Für Sicherungskopien gelten die in den technischen Maßnahmen beschriebenen Zyklen.</w:t>
      </w:r>
    </w:p>
    <w:p>
      <w:pPr>
        <w:pStyle w:val="Heading1"/>
        <w:widowControl/>
        <w:spacing w:before="160"/>
      </w:pPr>
      <w:r>
        <w:t>3 Weisungen und Unterstützung</w:t>
      </w:r>
    </w:p>
    <w:p>
      <w:pPr>
        <w:widowControl/>
      </w:pPr>
      <w:r>
        <w:t>Der Auftragnehmer verarbeitet die Inhalte auf dokumentierte Weisung des Auftraggebers und unterstützt ihn bei Auskunfts-, Berichtigungs- und Löschbegehren. Er meldet bekannt gewordene Verletzungen des Schutzes personenbezogener Daten unverzüglich an die benannte Kontaktstelle. Die inhaltliche Beantwortung von Patientenanfragen bleibt beim Auftraggeber. Der Auftragnehmer stellt Nachweise über die vereinbarten Maßnahmen zur Verfügung; die Einzelheiten einer Prüfung werden vorher abgestimmt.</w:t>
      </w:r>
    </w:p>
    <w:p>
      <w:pPr>
        <w:pStyle w:val="Heading1"/>
        <w:widowControl/>
        <w:spacing w:before="160"/>
      </w:pPr>
      <w:r>
        <w:t>4 Produktverbesserung nach Lieferantenstandard</w:t>
      </w:r>
    </w:p>
    <w:p>
      <w:pPr>
        <w:widowControl/>
      </w:pPr>
      <w:r>
        <w:t>Der Auftraggeber gestattet nach diesem Entwurf die Nutzung von Eingaben und korrigierten Ausgaben zur Verbesserung der Modelle des Auftragnehmers. Ein Widerspruch kann über die Administrationskonsole erklärt werden und wirkt nach dem Standardangebot für neue Verarbeitungsvorgänge. Diese vom Lieferanten vorgeschlagene Regelung ist Bestandteil des übersandten Entwurfs. Die Klinik hat ihr bislang nicht zugestimmt; der Auftragnehmer bearbeitet den Änderungswunsch aus dem Einkauf.</w:t>
      </w:r>
    </w:p>
    <w:p>
      <w:pPr>
        <w:pStyle w:val="Heading1"/>
        <w:widowControl/>
        <w:spacing w:before="160"/>
      </w:pPr>
      <w:r>
        <w:t>5 Unterauftragnehmer und Vertragsende</w:t>
      </w:r>
    </w:p>
    <w:p>
      <w:pPr>
        <w:widowControl/>
      </w:pPr>
      <w:r>
        <w:t>Der Auftragnehmer setzt die Unternehmen aus der gesondert übersandten Liste ein. Änderungen teilt er vor Umsetzung mit. Nach Vertragsende stellt er die gespeicherten Entwürfe zum Export bereit und löscht sie nach der vereinbarten Rückgabefrist. Der Umgang mit Modellen, Sicherungen und Diagnosepaketen wird im Standardtext nicht gesondert beschrieben. Die Parteien haben zu diesen Punkten noch keinen abschließenden Text vereinbart.</w:t>
      </w:r>
    </w:p>
    <w:p>
      <w:pPr>
        <w:widowControl/>
      </w:pPr>
      <w:r>
        <w:t>Vertragsabteilung Sprechfeder Health Europe GmbH</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zur Verarbeitung im Auftrag Lieferantenentwurf</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