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Sprechfeder Health Europe GmbH | Maja Roth</w:t>
      </w:r>
    </w:p>
    <w:p>
      <w:r>
        <w:t>Nora Bergmann | Gesamtleitung IT</w:t>
      </w:r>
    </w:p>
    <w:p>
      <w:r>
        <w:t>25.09.2026</w:t>
      </w:r>
    </w:p>
    <w:p>
      <w:pPr>
        <w:pStyle w:val="Title"/>
      </w:pPr>
      <w:r>
        <w:t>Liste der vorgesehenen Dienstleister und Zugriffe</w:t>
      </w:r>
    </w:p>
    <w:p>
      <w:pPr>
        <w:pStyle w:val="Heading1"/>
        <w:widowControl/>
        <w:spacing w:before="160"/>
      </w:pPr>
      <w:r>
        <w:t>1 Europäische Plattform</w:t>
      </w:r>
    </w:p>
    <w:p>
      <w:pPr>
        <w:widowControl/>
      </w:pPr>
      <w:r>
        <w:t>Die Sprechfeder Health Europe GmbH ist Vertragspartnerin des Krankenhauses. Für den Betrieb der Plattform wird MainCloud Services GmbH mit Rechenzentrumsregion Frankfurt eingesetzt. Dort liegen nach dem derzeitigen Betriebsmodell Datenbank, Objektspeicher und Sicherungen. Die technische Plattform stellt Speicher und Rechenleistung bereit. Eine eigene Nutzung von Krankenhausinhalten durch MainCloud ist in unserem Lieferantenvertrag nicht vorgesehen.</w:t>
      </w:r>
    </w:p>
    <w:p>
      <w:pPr>
        <w:pStyle w:val="Heading1"/>
        <w:widowControl/>
        <w:spacing w:before="160"/>
      </w:pPr>
      <w:r>
        <w:t>2 Support in den Vereinigten Staaten</w:t>
      </w:r>
    </w:p>
    <w:p>
      <w:pPr>
        <w:widowControl/>
      </w:pPr>
      <w:r>
        <w:t>Sprechfeder Support Inc. soll bei eskalierten Störungen unterstützen. Ihr Zugriff ist nach Vertriebsangabe auf die erforderlichen Diagnoseinformationen beschränkt. Die tatsächlichen Rechte des Supportkontos wurden für Ihren Mandanten noch nicht eingerichtet und geprüft. Bei Fehlern der Transkription können nach der Supportbeschreibung auch Eingaben oder Ausgaben in ein Diagnosepaket gelangen. Ein allgemeiner Ausschluss von Inhaltsdaten wird mit dieser Liste nicht erklärt.</w:t>
      </w:r>
    </w:p>
    <w:p>
      <w:pPr>
        <w:pStyle w:val="Heading1"/>
        <w:widowControl/>
        <w:spacing w:before="160"/>
      </w:pPr>
      <w:r>
        <w:t>3 Nachweise zum Übermittlungsweg</w:t>
      </w:r>
    </w:p>
    <w:p>
      <w:pPr>
        <w:widowControl/>
      </w:pPr>
      <w:r>
        <w:t>Wir haben die Nachweisführung für den Drittlandzugriff bei unserer Rechtsabteilung angefordert. Einen aktuellen Eintrag in einer Zertifizierungsliste werden wir gegebenenfalls nachreichen. Diese Ankündigung enthält noch keine Bestätigung, dass gerade die benannte juristische Person und der vorgesehene Datenumfang erfasst sind. Alternative Vertragsunterlagen sind mit diesem Schreiben ebenfalls noch nicht übermittelt.</w:t>
      </w:r>
    </w:p>
    <w:p>
      <w:pPr>
        <w:pStyle w:val="Heading1"/>
        <w:widowControl/>
        <w:spacing w:before="160"/>
      </w:pPr>
      <w:r>
        <w:t>4 Weitere Leistungen</w:t>
      </w:r>
    </w:p>
    <w:p>
      <w:pPr>
        <w:widowControl/>
      </w:pPr>
      <w:r>
        <w:t>Die europäischen Mitarbeiter nutzen ein Ticketsystem der Helpdesk Kontor GmbH. Das Ticket enthält Ansprechpartner, technische Fehlermeldung und gegebenenfalls eine beigefügte Diagnosedatei. Im Standardformular fehlt eine technische Sperre gegen das Anhängen von Patientendokumenten. Die für Ihre Installation verantwortlichen Beschäftigten werden im Einrichtungstermin benannt. Veränderungen an dieser Liste sollen Ihnen vor dem produktiven Einsatz mitgeteilt werden.</w:t>
      </w:r>
    </w:p>
    <w:p>
      <w:pPr>
        <w:widowControl/>
      </w:pPr>
      <w:r>
        <w:t>Maja Roth</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 der vorgesehenen Dienstleister und Zugriffe</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