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Bergmann und Karim Seidel</w:t>
      </w:r>
    </w:p>
    <w:p>
      <w:r>
        <w:t>Nora Bergmann | Gesamtleitung IT</w:t>
      </w:r>
    </w:p>
    <w:p>
      <w:r>
        <w:t>28.09.2026</w:t>
      </w:r>
    </w:p>
    <w:p>
      <w:pPr>
        <w:pStyle w:val="Title"/>
      </w:pPr>
      <w:r>
        <w:t>Aufnahme der Datenflüsse für die drei Vorhaben</w:t>
      </w:r>
    </w:p>
    <w:p>
      <w:pPr>
        <w:pStyle w:val="Heading1"/>
        <w:widowControl/>
        <w:spacing w:before="160"/>
      </w:pPr>
      <w:r>
        <w:t>1 P01 Diktat und Briefentwurf</w:t>
      </w:r>
    </w:p>
    <w:p>
      <w:pPr>
        <w:widowControl/>
      </w:pPr>
      <w:r>
        <w:t>Ein berechtigter Beschäftigter soll eine Sprachaufnahme oder einen Text an Sprechfeder Clinical 2.4 übergeben. Der Browser überträgt die Eingabe an die Plattform in Frankfurt. Dort entstehen Transkript und Briefentwurf. Der Nutzer prüft die Ausgabe und übernimmt sie bei Bedarf manuell in das Krankenhausinformationssystem. Die vorgesehene Testkonfiguration schreibt nicht automatisch in die Patientenakte. Die Anbindung eines produktiven Patientenkontexts ist noch nicht eingerichtet.</w:t>
      </w:r>
    </w:p>
    <w:p>
      <w:pPr>
        <w:widowControl/>
      </w:pPr>
      <w:r>
        <w:t>Ein Fehler kann ein Ticket mit einem Diagnosepaket auslösen. Ob dieses Paket automatisch Ausschnitte aus Diktat oder Entwurf enthält, ist noch offen. Der europäische Support kann ein Ticket an die US-Gesellschaft eskalieren. Im Angebot steht Datenregion Frankfurt; die technische Supportbeschreibung enthält einen zusätzlichen Zugriffsweg. Wir haben diesen Weg noch nicht am eigenen Mandanten getestet.</w:t>
      </w:r>
    </w:p>
    <w:p>
      <w:pPr>
        <w:pStyle w:val="Heading1"/>
        <w:widowControl/>
        <w:spacing w:before="160"/>
      </w:pPr>
      <w:r>
        <w:t>2 P02 Bilddaten und Priorisierung</w:t>
      </w:r>
    </w:p>
    <w:p>
      <w:pPr>
        <w:widowControl/>
      </w:pPr>
      <w:r>
        <w:t>Für Radialert Triage 5.1 ist eine lokale Verarbeitung von Kopien ausgewählter Bildserien vorgesehen. Die Ausgabe soll eine zusätzliche Priorisierungsmarkierung in einer Arbeitsliste erzeugen. Das Bildarchiv bleibt das führende System. Die Zuordnung von Untersuchung und Ausgabe erfolgt über interne Kennungen. Ein Herstellerzugang zur Wartung soll zeitlich begrenzt geöffnet werden. Die Übernahme neuer Modellversionen ist derzeit nicht automatisiert vorgesehen.</w:t>
      </w:r>
    </w:p>
    <w:p>
      <w:pPr>
        <w:pStyle w:val="Heading1"/>
        <w:widowControl/>
        <w:spacing w:before="160"/>
      </w:pPr>
      <w:r>
        <w:t>3 P03 Forschung und Nachverfolgung</w:t>
      </w:r>
    </w:p>
    <w:p>
      <w:pPr>
        <w:widowControl/>
      </w:pPr>
      <w:r>
        <w:t>Das Krankenhaus soll stationäre Fälle aus den Jahren 2022 bis 2025 pseudonymisieren. Die Zuordnungstabelle bleibt beim Krankenhaus. Für die geplante Nachverfolgung wären zusätzlich ambulante Daten aus der MVZ GmbH erforderlich. Ihre Herkunft und der Abgleich mit dem Krankenhausbestand müssen gesondert festgelegt werden. Die Hochschule Saalebogen soll einen Datensatz ohne Namen erhalten. Ein vom Projektplan abweichendes Training eines allgemein einsetzbaren Modells hat das Forschungsteam zusätzlich angesprochen, aber noch nicht beschrieben.</w:t>
      </w:r>
    </w:p>
    <w:p>
      <w:pPr>
        <w:pStyle w:val="Heading1"/>
        <w:widowControl/>
        <w:spacing w:before="160"/>
      </w:pPr>
      <w:r>
        <w:t>4 Stand der Aufnahme</w:t>
      </w:r>
    </w:p>
    <w:p>
      <w:pPr>
        <w:widowControl/>
      </w:pPr>
      <w:r>
        <w:t>Diese Aufnahme beschreibt geplante Verbindungen. Sie bestätigt weder Rechtsgrundlagen noch eine Freigabe. Die tatsächlich übertragenen Felder, Supportrechte und Löschwege sind bei der technischen Erprobung zu protokollieren. Für jedes Vorhaben bleibt ein eigener Umfang erforderlich.</w:t>
      </w:r>
    </w:p>
    <w:p>
      <w:pPr>
        <w:widowControl/>
      </w:pPr>
      <w:r>
        <w:t>Nora Bergmann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der Datenflüsse für die drei Vorhaben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