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Benedikt Fink und Nora Bergmann</w:t>
      </w:r>
    </w:p>
    <w:p>
      <w:r>
        <w:t>Nora Bergmann | Gesamtleitung IT</w:t>
      </w:r>
    </w:p>
    <w:p>
      <w:r>
        <w:t>01.10.2026</w:t>
      </w:r>
    </w:p>
    <w:p>
      <w:pPr>
        <w:pStyle w:val="Title"/>
      </w:pPr>
      <w:r>
        <w:t>Erhebung für die Bewertung der Folgen des Vorhabens P01</w:t>
      </w:r>
    </w:p>
    <w:p>
      <w:pPr>
        <w:pStyle w:val="Heading1"/>
        <w:widowControl/>
        <w:spacing w:before="160"/>
      </w:pPr>
      <w:r>
        <w:t>1 Anlass und Umfang</w:t>
      </w:r>
    </w:p>
    <w:p>
      <w:pPr>
        <w:widowControl/>
      </w:pPr>
      <w:r>
        <w:t>Wir erfassen die geplante Verarbeitung von Sprachaufnahmen und Briefentwürfen durch Sprechfeder Clinical 2.4. Die Erhebung bezieht sich auf P01. Die KI in der Radiologie und die Versorgungsforschung werden in eigenen Vorgängen betrachtet. Der klinikweite Nutzen wird mit einer Entlastung bei der Dokumentation begründet. Ein gemessener Nutzen im eigenen Haus liegt noch nicht vor.</w:t>
      </w:r>
    </w:p>
    <w:p>
      <w:pPr>
        <w:pStyle w:val="Heading1"/>
        <w:widowControl/>
        <w:spacing w:before="160"/>
      </w:pPr>
      <w:r>
        <w:t>2 Betroffene und mögliche Auswirkungen</w:t>
      </w:r>
    </w:p>
    <w:p>
      <w:pPr>
        <w:widowControl/>
      </w:pPr>
      <w:r>
        <w:t>Betroffen wären behandelte Personen und Beschäftigte, deren Sprache, Nutzerkennung oder Bearbeitungszeiten verarbeitet werden. Fehlerhafte Zuordnung eines Entwurfs, nicht bemerkte Textveränderungen und ein zu weit reichender Supportzugriff wurden in der Aufnahme als mögliche Schäden beschrieben. Für Beschäftigte besteht die Frage, ob individuelle Bearbeitungszeiten zu einer Leistungsbewertung verwendet werden können. Die Funktionen der Auswertungsansicht hat der Anbieter noch nicht vollständig demonstriert.</w:t>
      </w:r>
    </w:p>
    <w:p>
      <w:pPr>
        <w:pStyle w:val="Heading1"/>
        <w:widowControl/>
        <w:spacing w:before="160"/>
      </w:pPr>
      <w:r>
        <w:t>3 Bestehende und vorgeschlagene Maßnahmen</w:t>
      </w:r>
    </w:p>
    <w:p>
      <w:pPr>
        <w:widowControl/>
      </w:pPr>
      <w:r>
        <w:t>Im angebotenen Aufbau bleibt die ärztliche Prüfung vor der Übernahme erforderlich. Die IT möchte automatische Übernahmen sperren, personenbezogene Nutzerzugänge einsetzen und Supportrechte zeitlich begrenzen. Ob diese Einstellungen im angebotenen Tarif verfügbar sind und exportierbar protokolliert werden, ist zu prüfen. Die Vorschläge sind noch nicht mit einem erfolgreichen Test oder einer Freigabe gleichzusetzen.</w:t>
      </w:r>
    </w:p>
    <w:p>
      <w:pPr>
        <w:pStyle w:val="Heading1"/>
        <w:widowControl/>
        <w:spacing w:before="160"/>
      </w:pPr>
      <w:r>
        <w:t>4 Offene Bewertungen</w:t>
      </w:r>
    </w:p>
    <w:p>
      <w:pPr>
        <w:widowControl/>
      </w:pPr>
      <w:r>
        <w:t>Für die Beurteilung von Erforderlichkeit und angemessenen Alternativen fehlen ein Vergleich mit der bestehenden Diktierlösung und die dokumentierte Betrachtung einer lokalen Verarbeitung. Die Speicherfristen aus dem Lieferantenvertrag sind noch nicht mit den klinischen Abläufen abgeglichen. Eintrittswahrscheinlichkeiten und verbleibende Risiken können wir nach der bloßen Vorführung nicht verlässlich beziffern. Insbesondere die Bedeutung von Fehlzuordnungen wird gemeinsam mit der ärztlichen Leitung zu prüfen sein.</w:t>
      </w:r>
    </w:p>
    <w:p>
      <w:pPr>
        <w:pStyle w:val="Heading1"/>
        <w:widowControl/>
        <w:spacing w:before="160"/>
      </w:pPr>
      <w:r>
        <w:t>5 Weitere Beteiligung</w:t>
      </w:r>
    </w:p>
    <w:p>
      <w:pPr>
        <w:widowControl/>
      </w:pPr>
      <w:r>
        <w:t>Herr Seidel liefert das Ergebnis der Zugriffsprüfung. Frau Dr. Feld beschreibt die Kontrollschritte in der Briefbearbeitung. Herr Lindner erhält die Beschäftigtenfunktionen. Herr Fink fasst nach Eingang dieser Beiträge seine Beratung zusammen. Dieses Erhebungsblatt dokumentiert den Beginn der Prüfung und enthält keine abgeschlossene Datenschutz-Folgenabschätzung.</w:t>
      </w:r>
    </w:p>
    <w:p>
      <w:pPr>
        <w:widowControl/>
      </w:pPr>
      <w:r>
        <w:t>Benedikt Fink</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Erhebung für die Bewertung der Folgen des Vorhabens P01</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