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Radiaviso Medical GmbH | Dr. Eva Riedel</w:t>
      </w:r>
    </w:p>
    <w:p>
      <w:r>
        <w:t>Nora Bergmann | Gesamtleitung IT</w:t>
      </w:r>
    </w:p>
    <w:p>
      <w:r>
        <w:t>28.09.2026</w:t>
      </w:r>
    </w:p>
    <w:p>
      <w:pPr>
        <w:pStyle w:val="Title"/>
      </w:pPr>
      <w:r>
        <w:t>Begleitschreiben zum Stand der Produktunterlagen</w:t>
      </w:r>
    </w:p>
    <w:p>
      <w:pPr>
        <w:widowControl/>
      </w:pPr>
      <w:r>
        <w:t>Sehr geehrte Frau Bergmann,</w:t>
      </w:r>
    </w:p>
    <w:p>
      <w:pPr>
        <w:widowControl/>
      </w:pPr>
      <w:r>
        <w:t>wir bestätigen den Eingang Ihrer Bitte um das vollständige Produktdossier für Radialert Triage 5.1. Das Paket, das unser Vertrieb letzte Woche zusammenstellte, enthielt die Zweckbestimmung der Version 5.0 und eine Produktübersicht. Es war nicht als vollständige Übergabe aller für Ihren Einsatz benötigten Nachweise vorgesehen. Wir bitten darum, die Übermittlung nicht als Abschluss Ihrer Prüfung zu verbuchen.</w:t>
      </w:r>
    </w:p>
    <w:p>
      <w:pPr>
        <w:pStyle w:val="Heading1"/>
        <w:widowControl/>
        <w:spacing w:before="160"/>
      </w:pPr>
      <w:r>
        <w:t>1 Noch ausstehende Unterlagen</w:t>
      </w:r>
    </w:p>
    <w:p>
      <w:pPr>
        <w:widowControl/>
      </w:pPr>
      <w:r>
        <w:t>Die Rechtsabteilung stellt die geltende Konformitätserklärung und die zugehörige eindeutige Produktidentifikation zusammen. Die Beschreibung der Unterschiede zwischen Version 5.0 und 5.1 befindet sich beim Produktteam. Für die aktualisierte Arbeitslistenanzeige möchten wir Ihnen außerdem die gültige Gebrauchsanweisung übermitteln. Die Zuordnung etwaiger Bescheinigungen zum konkreten Produkt und ihrem Geltungsbereich wird in diesem Paket erläutert.</w:t>
      </w:r>
    </w:p>
    <w:p>
      <w:pPr>
        <w:pStyle w:val="Heading1"/>
        <w:widowControl/>
        <w:spacing w:before="160"/>
      </w:pPr>
      <w:r>
        <w:t>2 Einbindung in Ihre Umgebung</w:t>
      </w:r>
    </w:p>
    <w:p>
      <w:pPr>
        <w:widowControl/>
      </w:pPr>
      <w:r>
        <w:t>Der technische Ansprechpartner benötigt die Version des Bildarchivs und die Spezifikation der Übergabeschnittstelle. Die lokale Installation ist nicht identisch mit einer bereits geprüften Einbindung in Ihren klinischen Ablauf. Aus den von Ihnen beschriebenen Anforderungen an Kennungen und Priorisierungsanzeigen können sich zusätzliche Abstimmungen ergeben. Bitte schalten Sie die produktive Weitergabe von Bildern bis zur vereinbarten Installation nicht frei.</w:t>
      </w:r>
    </w:p>
    <w:p>
      <w:pPr>
        <w:pStyle w:val="Heading1"/>
        <w:widowControl/>
        <w:spacing w:before="160"/>
      </w:pPr>
      <w:r>
        <w:t>3 Weitere Aussage des Herstellers</w:t>
      </w:r>
    </w:p>
    <w:p>
      <w:pPr>
        <w:widowControl/>
      </w:pPr>
      <w:r>
        <w:t>Unsere Vertriebsangabe, die Anwendung werde als Medizinprodukt angeboten, ersetzt die angeforderten Unterlagen nicht. Eine eigene Erklärung Ihrer IT zur vollständigen regulatorischen Konformität erwarten wir nicht. Bitte prüfen Sie die Übergabe anhand der tatsächlichen Dokumente und teilen Sie uns Unstimmigkeiten mit. Wir beabsichtigen, den ergänzten Stand bis zum 8. Oktober bereitzustellen; diese Ankündigung ist noch keine erfolgte Lieferung.</w:t>
      </w:r>
    </w:p>
    <w:p>
      <w:pPr>
        <w:widowControl/>
      </w:pPr>
      <w:r>
        <w:t>Mit freundlichen Grüßen</w:t>
        <w:br/>
        <w:t>Dr. Eva Riedel</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Begleitschreiben zum Stand der Produktunterlagen</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