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Nora Bergmann | IT</w:t>
      </w:r>
    </w:p>
    <w:p>
      <w:r>
        <w:t>Nora Bergmann | Gesamtleitung IT</w:t>
      </w:r>
    </w:p>
    <w:p>
      <w:r>
        <w:t>02.10.2026</w:t>
      </w:r>
    </w:p>
    <w:p>
      <w:pPr>
        <w:pStyle w:val="Title"/>
      </w:pPr>
      <w:r>
        <w:t>Vermerk über eine verhinderte Übernahme in die Testumgebung</w:t>
      </w:r>
    </w:p>
    <w:p>
      <w:pPr>
        <w:pStyle w:val="Heading1"/>
        <w:widowControl/>
        <w:spacing w:before="160"/>
      </w:pPr>
      <w:r>
        <w:t>1 Beobachtung</w:t>
      </w:r>
    </w:p>
    <w:p>
      <w:pPr>
        <w:widowControl/>
      </w:pPr>
      <w:r>
        <w:t>Am 2. Oktober um 11:14 Uhr wollte ein Mitarbeiter für die Demonstration von P01 einen Text aus einem bereits freigegebenen Entlassbrief kopieren. Nora Bergmann bemerkte den geöffneten Dokumentausschnitt vor dem Einfügen in das Browserfenster. Sie bat den Mitarbeiter, den Vorgang abzubrechen. Nach seiner Erklärung wollte er die Unterschiede zur bestehenden Diktiersoftware an einem vertrauten Beispiel zeigen. Er hatte die Testregel nicht als Verbot dieser Verwendung verstanden.</w:t>
      </w:r>
    </w:p>
    <w:p>
      <w:pPr>
        <w:pStyle w:val="Heading1"/>
        <w:widowControl/>
        <w:spacing w:before="160"/>
      </w:pPr>
      <w:r>
        <w:t>2 Bisher gesicherter Ablauf</w:t>
      </w:r>
    </w:p>
    <w:p>
      <w:pPr>
        <w:widowControl/>
      </w:pPr>
      <w:r>
        <w:t>Der Text wurde nach gemeinsamer Durchsicht nicht in das Eingabefeld der Anwendung eingefügt. Die Browseransicht blieb leer. Die IT sicherte die vorhandenen Anwendungsprotokolle der Testkennung. Daraus ergibt sich für den fraglichen Zeitraum kein abgeschickter Diktatvorgang. Ob die Zwischenablage durch weitere lokal eingesetzte Funktionen verarbeitet wurde, wurde in diesem Termin nicht geprüft. Ein pauschaler Abschluss der technischen Prüfung erfolgte deshalb nicht.</w:t>
      </w:r>
    </w:p>
    <w:p>
      <w:pPr>
        <w:pStyle w:val="Heading1"/>
        <w:widowControl/>
        <w:spacing w:before="160"/>
      </w:pPr>
      <w:r>
        <w:t>3 Sofortige Schritte</w:t>
      </w:r>
    </w:p>
    <w:p>
      <w:pPr>
        <w:widowControl/>
      </w:pPr>
      <w:r>
        <w:t>Der Demonstrationstermin wurde unterbrochen. Für weitere Versuche wurden ausschließlich vorab neu geschriebene Beispielsätze in einem eigenen Ordner bereitgestellt. Herr Fink und Herr Seidel erhielten eine kurze Sachverhaltsmitteilung. Der Mitarbeiter wurde nicht aufgefordert, den Inhalt des echten Briefs zur Erklärung per E-Mail weiterzusenden. In diesem Vermerk werden keine Patientendaten festgehalten.</w:t>
      </w:r>
    </w:p>
    <w:p>
      <w:pPr>
        <w:pStyle w:val="Heading1"/>
        <w:widowControl/>
        <w:spacing w:before="160"/>
      </w:pPr>
      <w:r>
        <w:t>4 Weitere Klärung</w:t>
      </w:r>
    </w:p>
    <w:p>
      <w:pPr>
        <w:widowControl/>
      </w:pPr>
      <w:r>
        <w:t>Herr Seidel prüft bis zum 6. Oktober die für den Ablauf verfügbaren Protokolle und die lokale Zwischenablagekonfiguration. Herr Fink bewertet den dokumentierten Sachverhalt anschließend gesondert. Dieser Vermerk trifft noch keine abschließende Aussage zu Meldepflichten. Der Umstand, dass eine Übermittlung verhindert werden sollte, genügt für sich allein weder zur Feststellung noch zum Ausschluss jedes denkbaren Datenabflusses.</w:t>
      </w:r>
    </w:p>
    <w:p>
      <w:pPr>
        <w:widowControl/>
      </w:pPr>
      <w:r>
        <w:t>Nora Bergmann</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über eine verhinderte Übernahme in die Testumgebung</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