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Oskar Wenck und Nora Bergmann</w:t>
      </w:r>
    </w:p>
    <w:p>
      <w:r>
        <w:t>Nora Bergmann | Gesamtleitung IT</w:t>
      </w:r>
    </w:p>
    <w:p>
      <w:r>
        <w:t>30.09.2026</w:t>
      </w:r>
    </w:p>
    <w:p>
      <w:pPr>
        <w:pStyle w:val="Title"/>
      </w:pPr>
      <w:r>
        <w:t>Datenkatalog und Vorschlag zur Pseudonymisierung</w:t>
      </w:r>
    </w:p>
    <w:p>
      <w:pPr>
        <w:pStyle w:val="Heading1"/>
        <w:widowControl/>
        <w:spacing w:before="160"/>
      </w:pPr>
      <w:r>
        <w:t>1 Auswahl und Kennung</w:t>
      </w:r>
    </w:p>
    <w:p>
      <w:pPr>
        <w:widowControl/>
      </w:pPr>
      <w:r>
        <w:t>Der stationäre Suchbestand umfasst vorläufig rund 1.800 Fälle aus den Jahren 2022 bis 2025. Das Forschungsteam möchte jedem eingeschlossenen Fall eine zufällig erzeugte Studienkennung zuweisen. Die Zuordnung zwischen Kennung und internem Fallkennzeichen soll ausschließlich in einem getrennten, zugriffsbeschränkten Bereich des Krankenhauses liegen. Der Export soll keine Krankenhausfallnummer enthalten. Die technische Umsetzung ist noch nicht abgenommen.</w:t>
      </w:r>
    </w:p>
    <w:p>
      <w:pPr>
        <w:pStyle w:val="Heading1"/>
        <w:widowControl/>
        <w:spacing w:before="160"/>
      </w:pPr>
      <w:r>
        <w:t>2 Gewünschte Merkmale</w:t>
      </w:r>
    </w:p>
    <w:p>
      <w:pPr>
        <w:widowControl/>
      </w:pPr>
      <w:r>
        <w:t>Der erste Datenkatalog enthält Altersgruppen, Aufenthaltsdauer, Aufnahmeart, Zeitabstände zwischen ausgewählten dokumentierten Ereignissen und zusammengefasste Befundkategorien. Geschlecht wird als Merkmal angefragt; die wissenschaftliche Begründung der benötigten Ausprägungen steht noch aus. Exakte Aufnahme- und Entlassungstage sollen möglichst durch relative Zeitabstände ersetzt werden. Ob für eine saisonale Betrachtung Monat und Jahr benötigt werden, soll das Forschungsteam erläutern.</w:t>
      </w:r>
    </w:p>
    <w:p>
      <w:pPr>
        <w:pStyle w:val="Heading1"/>
        <w:widowControl/>
        <w:spacing w:before="160"/>
      </w:pPr>
      <w:r>
        <w:t>3 Grenzen des Entwurfs</w:t>
      </w:r>
    </w:p>
    <w:p>
      <w:pPr>
        <w:widowControl/>
      </w:pPr>
      <w:r>
        <w:t>Seltene Merkmalskombinationen können auch ohne Namen auffallen. Der aktuelle Katalog enthält noch keine festgelegte Mindestgröße für Auswertungsgruppen und keine verbindliche Regel für die Zusammenfassung seltener Kombinationen. Die Bezeichnung pseudonymisiert bedeutet hier, dass das Krankenhaus eine getrennte Zuordnung behält. Sie ist keine Behauptung, der Forschungsdatensatz sei unter allen Umständen anonym.</w:t>
      </w:r>
    </w:p>
    <w:p>
      <w:pPr>
        <w:pStyle w:val="Heading1"/>
        <w:widowControl/>
        <w:spacing w:before="160"/>
      </w:pPr>
      <w:r>
        <w:t>4 Ambulante Nachverfolgung</w:t>
      </w:r>
    </w:p>
    <w:p>
      <w:pPr>
        <w:widowControl/>
      </w:pPr>
      <w:r>
        <w:t>Für einen Abgleich mit dem MVZ fehlt ein vereinbartes Verfahren. Weder Versichertennummern noch Kontaktangaben sollen unbesehen in eine gemeinsame Datei kopiert werden. Vor einer Entscheidung benötigen wir eine Beschreibung, wer den Abgleich durchführt, welche Kennungen dabei entstehen und wann die dafür verwendeten Hilfsdaten wieder entfernt werden. Die eigenständige MVZ-Gesellschaft hat einem Export noch nicht zugestimmt.</w:t>
      </w:r>
    </w:p>
    <w:p>
      <w:pPr>
        <w:pStyle w:val="Heading1"/>
        <w:widowControl/>
        <w:spacing w:before="160"/>
      </w:pPr>
      <w:r>
        <w:t>5 Dokumentation der Bereitstellung</w:t>
      </w:r>
    </w:p>
    <w:p>
      <w:pPr>
        <w:widowControl/>
      </w:pPr>
      <w:r>
        <w:t>Vor jeder tatsächlichen Übergabe sollen Datenversion, Feldliste, Empfänger und Freigabe dokumentiert werden. Die vorliegende Datei enthält keine Datensätze einzelner Personen. Sie beschreibt ausschließlich den geplanten Aufbau.</w:t>
      </w:r>
    </w:p>
    <w:p>
      <w:pPr>
        <w:widowControl/>
      </w:pPr>
      <w:r>
        <w:t>Nora Bergmann</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Datenkatalog und Vorschlag zur Pseudonymisierung</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