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Kurzgutachten zur Insolvenzreife der Vellnitz Kunststofftechnik GmbH</w:t>
      </w:r>
    </w:p>
    <w:p>
      <w:pPr>
        <w:jc w:val="left"/>
      </w:pPr>
      <w:r>
        <w:rPr>
          <w:b/>
        </w:rPr>
        <w:t>Feldkamp &amp; Cie. Restrukturierungsberatung GmbH</w:t>
      </w:r>
      <w:r>
        <w:t xml:space="preserve"> · Käthe-Kollwitz-Straße 74 · 04109 Leipzig · Telefon 0341 22987-0</w:t>
      </w:r>
    </w:p>
    <w:p>
      <w:pPr>
        <w:jc w:val="left"/>
      </w:pPr>
      <w:r>
        <w:t>Auftraggeberin: Vellnitz Kunststofftechnik GmbH, Zwickauer Straße 214, 09116 Chemnitz · Auftrag vom 30. Juni 2025 · Projekt-Nr. FK-2025-217</w:t>
      </w:r>
    </w:p>
    <w:p>
      <w:pPr>
        <w:jc w:val="left"/>
      </w:pPr>
      <w:r>
        <w:t>Leipzig, den 18. Juli 2025</w:t>
      </w:r>
    </w:p>
    <w:p>
      <w:pPr>
        <w:jc w:val="left"/>
      </w:pPr>
      <w:r>
        <w:t>Bearbeiter: Dr. Roman Feldkamp, Diplom-Kaufmann · Mitwirkung: Jana Cerny, M. Sc.</w:t>
      </w:r>
    </w:p>
    <w:p>
      <w:pPr>
        <w:pStyle w:val="Heading2"/>
      </w:pPr>
      <w:r>
        <w:rPr>
          <w:rFonts w:ascii="Times New Roman" w:hAnsi="Times New Roman"/>
        </w:rPr>
        <w:t>1 Auftrag und Prüfungsgegenstand</w:t>
      </w:r>
    </w:p>
    <w:p>
      <w:pPr>
        <w:jc w:val="left"/>
      </w:pPr>
      <w:r>
        <w:t>Die Geschäftsführung der Vellnitz Kunststofftechnik GmbH hat uns beauftragt, zum Stichtag 30. Juni 2025 zu prüfen, ob Zahlungsunfähigkeit im Sinne des § 17 InsO vorliegt, und die Ergebnisse in einem Kurzgutachten zusammenzufassen. Grundlage sind die Summen- und Saldenlisten per 30. Juni 2025, die Offene-Posten-Listen der Kreditoren und Debitoren, die Kontoauszüge der Genossenschaftsbank Erzgebirge eG, der Kreditlinienvertrag sowie die Auftrags- und Umsatzplanung der Geschäftsführung für Juli 2025. Eine Prüfung der Überschuldung nach § 19 InsO war nicht beauftragt.</w:t>
      </w:r>
    </w:p>
    <w:p>
      <w:pPr>
        <w:pStyle w:val="Heading2"/>
      </w:pPr>
      <w:r>
        <w:rPr>
          <w:rFonts w:ascii="Times New Roman" w:hAnsi="Times New Roman"/>
        </w:rPr>
        <w:t>2 Methodik</w:t>
      </w:r>
    </w:p>
    <w:p>
      <w:pPr>
        <w:jc w:val="left"/>
      </w:pPr>
      <w:r>
        <w:t>Wir haben zum Stichtag einen Liquiditätsstatus aufgestellt und diesen um eine rollierende Vierwochenbetrachtung ergänzt. Verglichen werden die verfügbaren Mittel (Kassenbestand, Bankguthaben, freie Kreditlinie) zuzüglich der im Betrachtungszeitraum realistisch erwartbaren Zuflüsse mit den am Stichtag fälligen und den im Betrachtungszeitraum fällig werdenden Verbindlichkeiten. Maßstab ist die gesetzliche Wertung des § 17 Abs. 2 InsO: Zahlungsunfähigkeit liegt vor, wenn der Schuldner nicht in der Lage ist, die fälligen Zahlungspflichten zu erfüllen; eine bloße Zahlungsstockung scheidet aus, wenn die Deckungslücke nicht binnen drei Wochen im Wesentlichen geschlossen werden kann.</w:t>
      </w:r>
    </w:p>
    <w:p>
      <w:pPr>
        <w:pStyle w:val="Heading2"/>
      </w:pPr>
      <w:r>
        <w:rPr>
          <w:rFonts w:ascii="Times New Roman" w:hAnsi="Times New Roman"/>
        </w:rPr>
        <w:t>3 Liquiditätsstatus zum 30. Juni 2025</w:t>
      </w:r>
    </w:p>
    <w:p>
      <w:pPr>
        <w:jc w:val="left"/>
      </w:pPr>
      <w:r>
        <w:t>3.1 Zum Stichtag standen liquide Mittel von 34.200,00 EUR und eine freie Kreditlinie von 40.000,00 EUR zur Verfügung; die Betriebsmittellinie von 350.000,00 EUR war im Übrigen ausgenutzt. Dem standen fällige Verbindlichkeiten von 1.243.500,00 EUR gegenüber, im Wesentlichen Lieferantenverbindlichkeiten (614.200,00 EUR), rückständige Umsatzsteuer und Lohnsteuer (287.400,00 EUR), Sozialversicherungsbeiträge (121.700,00 EUR) sowie fällige Leasing- und Energieverbindlichkeiten (220.200,00 EUR).</w:t>
      </w:r>
    </w:p>
    <w:p>
      <w:pPr>
        <w:jc w:val="left"/>
      </w:pPr>
      <w:r>
        <w:t>3.2 Die rollierende Betrachtung über vier Wochen führt zu folgendem Bild (Einzelheiten in der beigefügten Tabelle, Anlage 1):</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Stichtag</w:t>
            </w:r>
          </w:p>
        </w:tc>
        <w:tc>
          <w:tcPr>
            <w:tcW w:type="dxa" w:w="1814"/>
          </w:tcPr>
          <w:p>
            <w:r>
              <w:rPr>
                <w:rFonts w:ascii="Times New Roman" w:hAnsi="Times New Roman"/>
                <w:b/>
                <w:sz w:val="20"/>
              </w:rPr>
              <w:t>Verfügbar gesamt (EUR)</w:t>
            </w:r>
          </w:p>
        </w:tc>
        <w:tc>
          <w:tcPr>
            <w:tcW w:type="dxa" w:w="1814"/>
          </w:tcPr>
          <w:p>
            <w:r>
              <w:rPr>
                <w:rFonts w:ascii="Times New Roman" w:hAnsi="Times New Roman"/>
                <w:b/>
                <w:sz w:val="20"/>
              </w:rPr>
              <w:t>Fällige Verbindlichkeiten (EUR)</w:t>
            </w:r>
          </w:p>
        </w:tc>
        <w:tc>
          <w:tcPr>
            <w:tcW w:type="dxa" w:w="1814"/>
          </w:tcPr>
          <w:p>
            <w:r>
              <w:rPr>
                <w:rFonts w:ascii="Times New Roman" w:hAnsi="Times New Roman"/>
                <w:b/>
                <w:sz w:val="20"/>
              </w:rPr>
              <w:t>Unterdeckung (EUR)</w:t>
            </w:r>
          </w:p>
        </w:tc>
        <w:tc>
          <w:tcPr>
            <w:tcW w:type="dxa" w:w="1814"/>
          </w:tcPr>
          <w:p>
            <w:r>
              <w:rPr>
                <w:rFonts w:ascii="Times New Roman" w:hAnsi="Times New Roman"/>
                <w:b/>
                <w:sz w:val="20"/>
              </w:rPr>
              <w:t>Quote</w:t>
            </w:r>
          </w:p>
        </w:tc>
      </w:tr>
      <w:tr>
        <w:tc>
          <w:tcPr>
            <w:tcW w:type="dxa" w:w="1814"/>
          </w:tcPr>
          <w:p>
            <w:r>
              <w:rPr>
                <w:rFonts w:ascii="Times New Roman" w:hAnsi="Times New Roman"/>
                <w:sz w:val="20"/>
              </w:rPr>
              <w:t>30.06.2025</w:t>
            </w:r>
          </w:p>
        </w:tc>
        <w:tc>
          <w:tcPr>
            <w:tcW w:type="dxa" w:w="1814"/>
          </w:tcPr>
          <w:p>
            <w:r>
              <w:rPr>
                <w:rFonts w:ascii="Times New Roman" w:hAnsi="Times New Roman"/>
                <w:sz w:val="20"/>
              </w:rPr>
              <w:t>74.200,00</w:t>
            </w:r>
          </w:p>
        </w:tc>
        <w:tc>
          <w:tcPr>
            <w:tcW w:type="dxa" w:w="1814"/>
          </w:tcPr>
          <w:p>
            <w:r>
              <w:rPr>
                <w:rFonts w:ascii="Times New Roman" w:hAnsi="Times New Roman"/>
                <w:sz w:val="20"/>
              </w:rPr>
              <w:t>1.243.500,00</w:t>
            </w:r>
          </w:p>
        </w:tc>
        <w:tc>
          <w:tcPr>
            <w:tcW w:type="dxa" w:w="1814"/>
          </w:tcPr>
          <w:p>
            <w:r>
              <w:rPr>
                <w:rFonts w:ascii="Times New Roman" w:hAnsi="Times New Roman"/>
                <w:sz w:val="20"/>
              </w:rPr>
              <w:t>1.169.300,00</w:t>
            </w:r>
          </w:p>
        </w:tc>
        <w:tc>
          <w:tcPr>
            <w:tcW w:type="dxa" w:w="1814"/>
          </w:tcPr>
          <w:p>
            <w:r>
              <w:rPr>
                <w:rFonts w:ascii="Times New Roman" w:hAnsi="Times New Roman"/>
                <w:sz w:val="20"/>
              </w:rPr>
              <w:t>94.0 %</w:t>
            </w:r>
          </w:p>
        </w:tc>
      </w:tr>
      <w:tr>
        <w:tc>
          <w:tcPr>
            <w:tcW w:type="dxa" w:w="1814"/>
          </w:tcPr>
          <w:p>
            <w:r>
              <w:rPr>
                <w:rFonts w:ascii="Times New Roman" w:hAnsi="Times New Roman"/>
                <w:sz w:val="20"/>
              </w:rPr>
              <w:t>07.07.2025</w:t>
            </w:r>
          </w:p>
        </w:tc>
        <w:tc>
          <w:tcPr>
            <w:tcW w:type="dxa" w:w="1814"/>
          </w:tcPr>
          <w:p>
            <w:r>
              <w:rPr>
                <w:rFonts w:ascii="Times New Roman" w:hAnsi="Times New Roman"/>
                <w:sz w:val="20"/>
              </w:rPr>
              <w:t>288.200,00</w:t>
            </w:r>
          </w:p>
        </w:tc>
        <w:tc>
          <w:tcPr>
            <w:tcW w:type="dxa" w:w="1814"/>
          </w:tcPr>
          <w:p>
            <w:r>
              <w:rPr>
                <w:rFonts w:ascii="Times New Roman" w:hAnsi="Times New Roman"/>
                <w:sz w:val="20"/>
              </w:rPr>
              <w:t>1.268.300,00</w:t>
            </w:r>
          </w:p>
        </w:tc>
        <w:tc>
          <w:tcPr>
            <w:tcW w:type="dxa" w:w="1814"/>
          </w:tcPr>
          <w:p>
            <w:r>
              <w:rPr>
                <w:rFonts w:ascii="Times New Roman" w:hAnsi="Times New Roman"/>
                <w:sz w:val="20"/>
              </w:rPr>
              <w:t>980.100,00</w:t>
            </w:r>
          </w:p>
        </w:tc>
        <w:tc>
          <w:tcPr>
            <w:tcW w:type="dxa" w:w="1814"/>
          </w:tcPr>
          <w:p>
            <w:r>
              <w:rPr>
                <w:rFonts w:ascii="Times New Roman" w:hAnsi="Times New Roman"/>
                <w:sz w:val="20"/>
              </w:rPr>
              <w:t>77.3 %</w:t>
            </w:r>
          </w:p>
        </w:tc>
      </w:tr>
      <w:tr>
        <w:tc>
          <w:tcPr>
            <w:tcW w:type="dxa" w:w="1814"/>
          </w:tcPr>
          <w:p>
            <w:r>
              <w:rPr>
                <w:rFonts w:ascii="Times New Roman" w:hAnsi="Times New Roman"/>
                <w:sz w:val="20"/>
              </w:rPr>
              <w:t>14.07.2025</w:t>
            </w:r>
          </w:p>
        </w:tc>
        <w:tc>
          <w:tcPr>
            <w:tcW w:type="dxa" w:w="1814"/>
          </w:tcPr>
          <w:p>
            <w:r>
              <w:rPr>
                <w:rFonts w:ascii="Times New Roman" w:hAnsi="Times New Roman"/>
                <w:sz w:val="20"/>
              </w:rPr>
              <w:t>495.700,00</w:t>
            </w:r>
          </w:p>
        </w:tc>
        <w:tc>
          <w:tcPr>
            <w:tcW w:type="dxa" w:w="1814"/>
          </w:tcPr>
          <w:p>
            <w:r>
              <w:rPr>
                <w:rFonts w:ascii="Times New Roman" w:hAnsi="Times New Roman"/>
                <w:sz w:val="20"/>
              </w:rPr>
              <w:t>1.291.800,00</w:t>
            </w:r>
          </w:p>
        </w:tc>
        <w:tc>
          <w:tcPr>
            <w:tcW w:type="dxa" w:w="1814"/>
          </w:tcPr>
          <w:p>
            <w:r>
              <w:rPr>
                <w:rFonts w:ascii="Times New Roman" w:hAnsi="Times New Roman"/>
                <w:sz w:val="20"/>
              </w:rPr>
              <w:t>796.100,00</w:t>
            </w:r>
          </w:p>
        </w:tc>
        <w:tc>
          <w:tcPr>
            <w:tcW w:type="dxa" w:w="1814"/>
          </w:tcPr>
          <w:p>
            <w:r>
              <w:rPr>
                <w:rFonts w:ascii="Times New Roman" w:hAnsi="Times New Roman"/>
                <w:sz w:val="20"/>
              </w:rPr>
              <w:t>61.6 %</w:t>
            </w:r>
          </w:p>
        </w:tc>
      </w:tr>
      <w:tr>
        <w:tc>
          <w:tcPr>
            <w:tcW w:type="dxa" w:w="1814"/>
          </w:tcPr>
          <w:p>
            <w:r>
              <w:rPr>
                <w:rFonts w:ascii="Times New Roman" w:hAnsi="Times New Roman"/>
                <w:sz w:val="20"/>
              </w:rPr>
              <w:t>21.07.2025</w:t>
            </w:r>
          </w:p>
        </w:tc>
        <w:tc>
          <w:tcPr>
            <w:tcW w:type="dxa" w:w="1814"/>
          </w:tcPr>
          <w:p>
            <w:r>
              <w:rPr>
                <w:rFonts w:ascii="Times New Roman" w:hAnsi="Times New Roman"/>
                <w:sz w:val="20"/>
              </w:rPr>
              <w:t>711.400,00</w:t>
            </w:r>
          </w:p>
        </w:tc>
        <w:tc>
          <w:tcPr>
            <w:tcW w:type="dxa" w:w="1814"/>
          </w:tcPr>
          <w:p>
            <w:r>
              <w:rPr>
                <w:rFonts w:ascii="Times New Roman" w:hAnsi="Times New Roman"/>
                <w:sz w:val="20"/>
              </w:rPr>
              <w:t>1.320.400,00</w:t>
            </w:r>
          </w:p>
        </w:tc>
        <w:tc>
          <w:tcPr>
            <w:tcW w:type="dxa" w:w="1814"/>
          </w:tcPr>
          <w:p>
            <w:r>
              <w:rPr>
                <w:rFonts w:ascii="Times New Roman" w:hAnsi="Times New Roman"/>
                <w:sz w:val="20"/>
              </w:rPr>
              <w:t>609.000,00</w:t>
            </w:r>
          </w:p>
        </w:tc>
        <w:tc>
          <w:tcPr>
            <w:tcW w:type="dxa" w:w="1814"/>
          </w:tcPr>
          <w:p>
            <w:r>
              <w:rPr>
                <w:rFonts w:ascii="Times New Roman" w:hAnsi="Times New Roman"/>
                <w:sz w:val="20"/>
              </w:rPr>
              <w:t>46.1 %</w:t>
            </w:r>
          </w:p>
        </w:tc>
      </w:tr>
      <w:tr>
        <w:tc>
          <w:tcPr>
            <w:tcW w:type="dxa" w:w="1814"/>
          </w:tcPr>
          <w:p>
            <w:r>
              <w:rPr>
                <w:rFonts w:ascii="Times New Roman" w:hAnsi="Times New Roman"/>
                <w:sz w:val="20"/>
              </w:rPr>
              <w:t>28.07.2025</w:t>
            </w:r>
          </w:p>
        </w:tc>
        <w:tc>
          <w:tcPr>
            <w:tcW w:type="dxa" w:w="1814"/>
          </w:tcPr>
          <w:p>
            <w:r>
              <w:rPr>
                <w:rFonts w:ascii="Times New Roman" w:hAnsi="Times New Roman"/>
                <w:sz w:val="20"/>
              </w:rPr>
              <w:t>891.100,00</w:t>
            </w:r>
          </w:p>
        </w:tc>
        <w:tc>
          <w:tcPr>
            <w:tcW w:type="dxa" w:w="1814"/>
          </w:tcPr>
          <w:p>
            <w:r>
              <w:rPr>
                <w:rFonts w:ascii="Times New Roman" w:hAnsi="Times New Roman"/>
                <w:sz w:val="20"/>
              </w:rPr>
              <w:t>1.341.700,00</w:t>
            </w:r>
          </w:p>
        </w:tc>
        <w:tc>
          <w:tcPr>
            <w:tcW w:type="dxa" w:w="1814"/>
          </w:tcPr>
          <w:p>
            <w:r>
              <w:rPr>
                <w:rFonts w:ascii="Times New Roman" w:hAnsi="Times New Roman"/>
                <w:sz w:val="20"/>
              </w:rPr>
              <w:t>450.600,00</w:t>
            </w:r>
          </w:p>
        </w:tc>
        <w:tc>
          <w:tcPr>
            <w:tcW w:type="dxa" w:w="1814"/>
          </w:tcPr>
          <w:p>
            <w:r>
              <w:rPr>
                <w:rFonts w:ascii="Times New Roman" w:hAnsi="Times New Roman"/>
                <w:sz w:val="20"/>
              </w:rPr>
              <w:t>33.6 %</w:t>
            </w:r>
          </w:p>
        </w:tc>
      </w:tr>
    </w:tbl>
    <w:p>
      <w:pPr>
        <w:jc w:val="left"/>
      </w:pPr>
      <w:r>
        <w:t>3.3 Selbst unter vollständiger Einbeziehung aller von der Geschäftsführung erwarteten Zuflüsse von 816.900,00 EUR verbleibt nach vier Wochen eine Deckungslücke von 450.600,00 EUR; das entspricht 33.6 Prozent der dann fälligen Verbindlichkeiten. Die Lücke liegt damit über den gesamten Betrachtungszeitraum weit oberhalb der Schwelle von 10 Prozent und ist nach den vorliegenden Planungsdaten auch in den Folgemonaten nicht zu schließen: Es fehlen gesicherte Finanzierungszusagen, die Debitorenlaufzeiten verlängern sich, und der wichtigste Rohstofflieferant mahnt bereits die Sommerrechnungen an.</w:t>
      </w:r>
    </w:p>
    <w:p>
      <w:pPr>
        <w:pStyle w:val="Heading2"/>
      </w:pPr>
      <w:r>
        <w:rPr>
          <w:rFonts w:ascii="Times New Roman" w:hAnsi="Times New Roman"/>
        </w:rPr>
        <w:t>4 Ergebnis</w:t>
      </w:r>
    </w:p>
    <w:p>
      <w:pPr>
        <w:jc w:val="left"/>
      </w:pPr>
      <w:r>
        <w:t>4.1 Die Vellnitz Kunststofftechnik GmbH ist zum 30. Juni 2025 zahlungsunfähig im Sinne des § 17 Abs. 2 Satz 1 InsO. Es handelt sich nicht um eine Zahlungsstockung, da die Deckungslücke innerhalb von drei Wochen nicht ansatzweise geschlossen werden kann und keine konkreten, überwiegend wahrscheinlichen Zuflüsse ersichtlich sind, die dies ändern würden.</w:t>
      </w:r>
    </w:p>
    <w:p>
      <w:pPr>
        <w:jc w:val="left"/>
      </w:pPr>
      <w:r>
        <w:t>4.2 Wir weisen die Geschäftsführung ausdrücklich auf die Antragspflicht des § 15a Abs. 1 InsO hin: Der Eröffnungsantrag ist ohne schuldhaftes Zögern, spätestens drei Wochen nach Eintritt der Zahlungsunfähigkeit, zu stellen. Zahlungen nach Eintritt der Zahlungsunfähigkeit sind an § 15b InsO zu messen und können die persönliche Haftung der Geschäftsführung begründen.</w:t>
      </w:r>
    </w:p>
    <w:p>
      <w:pPr>
        <w:jc w:val="left"/>
      </w:pPr>
      <w:r>
        <w:t>4.3 Sollte die Geschäftsführung eine Sanierung anstreben, kommt diese nur in Betracht, wenn die Zahlungsunfähigkeit zuvor beseitigt wird, etwa durch eine sofortige Kapitalzuführung der Gesellschafter in Höhe von mindestens 500.000,00 EUR nebst qualifizierten Stundungsvereinbarungen mit den Hauptgläubigern. Gelingt dies nicht binnen der Frist des § 15a InsO, ist der Insolvenzantrag zu stellen.</w:t>
      </w:r>
    </w:p>
    <w:p>
      <w:pPr>
        <w:pStyle w:val="Heading2"/>
      </w:pPr>
      <w:r>
        <w:rPr>
          <w:rFonts w:ascii="Times New Roman" w:hAnsi="Times New Roman"/>
        </w:rPr>
        <w:t>5 Schlussbemerkung</w:t>
      </w:r>
    </w:p>
    <w:p>
      <w:pPr>
        <w:jc w:val="left"/>
      </w:pPr>
      <w:r>
        <w:t>Dieses Kurzgutachten beruht auf den uns vorgelegten Unterlagen und den Auskünften der Geschäftsführung; eine Prüfung nach Art einer Jahresabschlussprüfung haben wir nicht vorgenommen. Es ist ausschließlich zur internen Verwendung durch die Auftraggeberin bestimmt.</w:t>
      </w:r>
    </w:p>
    <w:p>
      <w:pPr>
        <w:jc w:val="left"/>
      </w:pPr>
      <w:r>
        <w:t>Feldkamp &amp; Cie. Restrukturierungsberatung GmbH</w:t>
      </w:r>
    </w:p>
    <w:p>
      <w:pPr>
        <w:jc w:val="left"/>
      </w:pPr>
      <w:r>
        <w:t>Dr. Roman Feldkamp</w:t>
      </w:r>
    </w:p>
    <w:p>
      <w:pPr>
        <w:jc w:val="left"/>
      </w:pPr>
      <w:r>
        <w:t>Anlage 1: Liquiditätsstatus zum 30. Juni 2025 mit rollierender Vierwochenbetrachtung (Tabelle)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