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Replik der Insolvenzverwalterin</w:t>
      </w:r>
    </w:p>
    <w:p>
      <w:pPr>
        <w:jc w:val="left"/>
      </w:pPr>
      <w:r>
        <w:rPr>
          <w:b/>
        </w:rPr>
        <w:t>Stollberg &amp; Partner Insolvenzverwaltung</w:t>
      </w:r>
      <w:r>
        <w:t xml:space="preserve"> · Rechtsanwältin Dr. Friederike Stollberg · Straße der Nationen 51 · 09111 Chemnitz · Telefon 0371 66412-0</w:t>
      </w:r>
    </w:p>
    <w:p>
      <w:pPr>
        <w:jc w:val="left"/>
      </w:pPr>
      <w:r>
        <w:t>Aktenzeichen: 118/26 ST · Ihr Zeichen: 411/26 HÜ</w:t>
      </w:r>
    </w:p>
    <w:p>
      <w:pPr>
        <w:jc w:val="left"/>
      </w:pPr>
      <w:r>
        <w:t>Chemnitz, den 2. Juli 2026</w:t>
      </w:r>
    </w:p>
    <w:p>
      <w:pPr>
        <w:jc w:val="left"/>
      </w:pPr>
      <w:r>
        <w:t>An Herrn Rechtsanwalt Dr. Lennart Hüsgen, Altmarkt 9, 01067 Dresden</w:t>
      </w:r>
    </w:p>
    <w:p>
      <w:pPr>
        <w:jc w:val="left"/>
      </w:pPr>
      <w:r>
        <w:t>Betreff: Insolvenzverfahren Vellnitz Kunststofftechnik GmbH, AG Chemnitz 15 IN 388/26 — Ihre Erwiderung vom 30. Juni 2026</w:t>
      </w:r>
    </w:p>
    <w:p>
      <w:pPr>
        <w:jc w:val="left"/>
      </w:pPr>
      <w:r>
        <w:t>Sehr geehrter Herr Kollege Dr. Hüsgen,</w:t>
      </w:r>
    </w:p>
    <w:p>
      <w:pPr>
        <w:jc w:val="left"/>
      </w:pPr>
      <w:r>
        <w:t>Ihre Erwiderung veranlasst mich zu folgender Entgegnung. An der Anfechtung halte ich fest.</w:t>
      </w:r>
    </w:p>
    <w:p>
      <w:pPr>
        <w:pStyle w:val="Heading2"/>
      </w:pPr>
      <w:r>
        <w:rPr>
          <w:rFonts w:ascii="Times New Roman" w:hAnsi="Times New Roman"/>
        </w:rPr>
        <w:t>1 Zur Unmittelbarkeit</w:t>
      </w:r>
    </w:p>
    <w:p>
      <w:pPr>
        <w:jc w:val="left"/>
      </w:pPr>
      <w:r>
        <w:t>Die Unmittelbarkeit des Leistungsaustauschs stelle ich für die vierzehn Zahlungen nicht in Abrede; bei null bis fünf Tagen zwischen Zahlung und Lieferung liegt sie vor. Der Streit entscheidet sich nicht bei § 142 Abs. 2 InsO, sondern bei der Gleichwertigkeit und bei der Rückausnahme für die Vorsatzanfechtung.</w:t>
      </w:r>
    </w:p>
    <w:p>
      <w:pPr>
        <w:pStyle w:val="Heading2"/>
      </w:pPr>
      <w:r>
        <w:rPr>
          <w:rFonts w:ascii="Times New Roman" w:hAnsi="Times New Roman"/>
        </w:rPr>
        <w:t>2 Zur Gleichwertigkeit</w:t>
      </w:r>
    </w:p>
    <w:p>
      <w:pPr>
        <w:jc w:val="left"/>
      </w:pPr>
      <w:r>
        <w:t>2.1 Für zwölf der vierzehn Zahlungen mag die Gleichwertigkeit zu bejahen sein; das räume ich als Zwischenergebnis ein. Für die Rechnungen VK-2026-0214 und VK-2026-0233 bleibt es bei der Beanstandung: Der Aufschlag wurde nicht als Skontoausgleich oder Bevorratungsentgelt vereinbart, sondern in der E-Mail Ihres Vertriebsleiters vom 2. Februar 2026 wörtlich als „Risikozuschlag" eingeführt, „solange die Zahlungsweise Vorkasse nötig ist". Ein Entgelt für das Insolvenzrisiko des eigenen Kunden ist keine Gegenleistung, die in das Schuldnervermögen fließt; ihm steht kein Vermögenswert gegenüber. In Höhe von 1.282,82 EUR bleibt die Anfechtung daher in jedem Fall begründet.</w:t>
      </w:r>
    </w:p>
    <w:p>
      <w:pPr>
        <w:jc w:val="left"/>
      </w:pPr>
      <w:r>
        <w:t>2.2 Bemerkenswert ist die Begründung im Übrigen: Wer den Wegfall der Versicherungsdeckung und das „volle Beschaffungsrisiko" bepreist, dokumentiert, dass er den möglichen Ausfall seines Kunden konkret einkalkuliert hat. Ihre Gleichwertigkeitsverteidigung liefert damit zugleich das Kenntnis-Indiz für Ziffer 3.</w:t>
      </w:r>
    </w:p>
    <w:p>
      <w:pPr>
        <w:pStyle w:val="Heading2"/>
      </w:pPr>
      <w:r>
        <w:rPr>
          <w:rFonts w:ascii="Times New Roman" w:hAnsi="Times New Roman"/>
        </w:rPr>
        <w:t>3 Zur Unlauterkeit und zur Kenntnis</w:t>
      </w:r>
    </w:p>
    <w:p>
      <w:pPr>
        <w:jc w:val="left"/>
      </w:pPr>
      <w:r>
        <w:t>3.1 Richtig ist, dass die bloße Betriebsfortführung trotz Insolvenzreife für sich genommen die Unlauterkeit nicht begründet. Der vorliegende Fall liegt indes anders. Die Geschäftsführerin besaß seit dem 18. Juli 2025 ein von ihr selbst beauftragtes Gutachten, das ihr die Zahlungsunfähigkeit, die Antragspflicht des § 15a InsO und die Haftungsfolgen des § 15b InsO schwarz auf weiß bescheinigte, verbunden mit der klaren Alternative: Kapitalzuführung von 500.000,00 EUR binnen drei Wochen oder Antrag. Weder das eine noch das andere geschah. Stattdessen wurden neun Monate lang Steuern und Sozialversicherungsbeiträge in Höhe von zusammen mehr als 680.000,00 EUR aufgelaufen, während die produktionskritischen Lieferanten bar bezahlt wurden. Das ist keine „betriebswirtschaftliche Selbstverständlichkeit", sondern die planmäßige Verlagerung des Fortführungsrisikos auf die Zwangsgläubiger, die sich — anders als Ihre Mandantin — nicht durch Vorkasse schützen können. Genau diese Konstellation meint die Rückausnahme des § 142 Abs. 1 InsO: Das Bargeschäftsprivileg soll den redlichen Leistungsaustausch schützen, nicht die monatelange Verschleppung auf Kosten der Gläubigergesamtheit.</w:t>
      </w:r>
    </w:p>
    <w:p>
      <w:pPr>
        <w:jc w:val="left"/>
      </w:pPr>
      <w:r>
        <w:t>3.2 Ihre Mandantin hat diese Lage erkannt. Sie wusste aus eigener Anschauung, dass die Schuldnerin ein 60-Tage-Ziel nicht mehr bedienen konnte, dass eine Lastschrift geplatzt war, dass der Kreditversicherer die Deckung vollständig gestrichen hatte und dass die Schuldnerin gleichwohl Monat für Monat sechsstellige Beträge für Granulat aufbrachte. Der interne Vermerk vom 3. November 2025, den Sie selbst vorlegen, hält fest, der Kunde stehe „erkennbar unter erheblichem Liquiditätsdruck", die Belieferung sei aber wegen eines Umsatzanteils von 8 Prozent „im eigenen Interesse aufrechtzuerhalten, solange kein Insolvenzantrag gestellt ist". Wer so formuliert, rechnet mit dem Antrag und richtet sein Verhalten darauf ein.</w:t>
      </w:r>
    </w:p>
    <w:p>
      <w:pPr>
        <w:jc w:val="left"/>
      </w:pPr>
      <w:r>
        <w:t>3.3 Das Stillhalten auf den Altforderungen entlastet Ihre Mandantin nicht, es belastet sie: Die Altforderungen waren faktisch uneinbringlich, wie Ihre Mandantin nach der dritten Mahnstufe und der Rücklastschrift wusste. Ihr blieb nur, den künftigen Schaden zu begrenzen und aus der Restlaufzeit des Kunden herauszuholen, was gegen Vorkasse herauszuholen war. Das ist legitimes Eigeninteresse — aber es ist mit der Kenntnis der Krise erkauft, auf die es anfechtungsrechtlich ankommt.</w:t>
      </w:r>
    </w:p>
    <w:p>
      <w:pPr>
        <w:pStyle w:val="Heading2"/>
      </w:pPr>
      <w:r>
        <w:rPr>
          <w:rFonts w:ascii="Times New Roman" w:hAnsi="Times New Roman"/>
        </w:rPr>
        <w:t>4 Zum weiteren Vorgehen</w:t>
      </w:r>
    </w:p>
    <w:p>
      <w:pPr>
        <w:jc w:val="left"/>
      </w:pPr>
      <w:r>
        <w:t xml:space="preserve">Ich rege an, die Sach- und Rechtslage in der 29. Kalenderwoche zu erörtern. Sollte bis zum </w:t>
      </w:r>
      <w:r>
        <w:rPr>
          <w:b/>
        </w:rPr>
        <w:t>24. Juli 2026</w:t>
      </w:r>
      <w:r>
        <w:t xml:space="preserve"> weder Zahlung noch ein substanzieller Einigungsvorschlag vorliegen, erhebe ich Klage vor dem Landgericht Chemnitz. Den Streitwert werde ich mit 214.000,08 EUR ansetzen; die hilfsweise Beschränkung auf die Aufschläge bleibt einem gerichtlichen Vergleich vorbehalten.</w:t>
      </w:r>
    </w:p>
    <w:p>
      <w:pPr>
        <w:jc w:val="left"/>
      </w:pPr>
      <w:r>
        <w:t>Mit freundlichen kollegialen Grüßen</w:t>
      </w:r>
    </w:p>
    <w:p>
      <w:pPr>
        <w:jc w:val="left"/>
      </w:pPr>
      <w:r>
        <w:t>Dr. Friederike Stollberg</w:t>
      </w:r>
    </w:p>
    <w:p>
      <w:pPr>
        <w:jc w:val="left"/>
      </w:pPr>
      <w:r>
        <w:t>Rechtsanwältin, Insolvenzverwalterin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