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Interner Vermerk — Kreditentscheidung Kunde Vellnitz Kunststofftechnik GmbH</w:t>
      </w:r>
    </w:p>
    <w:p>
      <w:pPr>
        <w:jc w:val="left"/>
      </w:pPr>
      <w:r>
        <w:rPr>
          <w:b/>
        </w:rPr>
        <w:t>Granova Polymer Handels GmbH</w:t>
      </w:r>
      <w:r>
        <w:t xml:space="preserve"> · Meißner Landstraße 18 · 01445 Radebeul · Bereich Vertrieb / Debitorenmanagement</w:t>
      </w:r>
    </w:p>
    <w:p>
      <w:pPr>
        <w:jc w:val="left"/>
      </w:pPr>
      <w:r>
        <w:t>Radebeul, 3. November 2025</w:t>
      </w:r>
    </w:p>
    <w:p>
      <w:pPr>
        <w:jc w:val="left"/>
      </w:pPr>
      <w:r>
        <w:t>Verfasser: Udo Sarrasin (Vertriebsleitung) · Mitzeichnung: Heike Brandner (Debitorenmanagement) · Vorlage an: Geschäftsführung</w:t>
      </w:r>
    </w:p>
    <w:p>
      <w:pPr>
        <w:pStyle w:val="Heading2"/>
      </w:pPr>
      <w:r>
        <w:rPr>
          <w:rFonts w:ascii="Times New Roman" w:hAnsi="Times New Roman"/>
        </w:rPr>
        <w:t>1 Anlass</w:t>
      </w:r>
    </w:p>
    <w:p>
      <w:pPr>
        <w:jc w:val="left"/>
      </w:pPr>
      <w:r>
        <w:t>Die Nordkredit Warenkreditversicherung AG hat das Deckungslimit für die Vellnitz Kunststofftechnik GmbH (Kunden-Nr. 20419) mit Schreiben vom 28. Oktober 2025 zum sofortigen Termin vollständig gestrichen. Zuvor war das Limit bereits im Juli 2025 von 150.000,00 EUR auf 80.000,00 EUR reduziert worden. Die offenen Posten belaufen sich per heute auf 96.413,80 EUR; die Lastschrift zur Rechnung RE 2025-1577 wurde am 17. Oktober 2025 mangels Deckung zurückgegeben. Die Rechnungen RE 2025-1418 und RE 2025-1502 befinden sich in der dritten Mahnstufe.</w:t>
      </w:r>
    </w:p>
    <w:p>
      <w:pPr>
        <w:pStyle w:val="Heading2"/>
      </w:pPr>
      <w:r>
        <w:rPr>
          <w:rFonts w:ascii="Times New Roman" w:hAnsi="Times New Roman"/>
        </w:rPr>
        <w:t>2 Bewertung</w:t>
      </w:r>
    </w:p>
    <w:p>
      <w:pPr>
        <w:jc w:val="left"/>
      </w:pPr>
      <w:r>
        <w:t>2.1 Der Kunde steht erkennbar unter erheblichem Liquiditätsdruck. Die Zahlungsziele werden seit dem Sommer durchgängig überschritten; Zusagen aus den Telefonaten vom 22. September und 13. Oktober 2025 (Ausgleich der ältesten Rechnungen) wurden nicht eingehalten. Über die Ursachen liegen uns keine eigenen Erkenntnisse vor; die Geschäftsführerin verweist auf verzögerte Abrufe eines Großkunden und eine „stockende Gespräche" mit der Hausbank.</w:t>
      </w:r>
    </w:p>
    <w:p>
      <w:pPr>
        <w:jc w:val="left"/>
      </w:pPr>
      <w:r>
        <w:t>2.2 Andererseits ist Vellnitz mit rund 8 Prozent unseres Jahresumsatzes einer unserer zehn größten Abnehmer, bezieht seit 2023 kontinuierlich und hat bis Mitte 2025 stets vollständig gezahlt. Die laufende Produktion des Kunden (Serienaufträge Automobilzulieferung) erfordert kontinuierliche Granulatversorgung; bei einem Lieferstopp wäre der Kunde binnen zwei Wochen produktionsunfähig und unsere Altforderung endgültig verloren.</w:t>
      </w:r>
    </w:p>
    <w:p>
      <w:pPr>
        <w:pStyle w:val="Heading2"/>
      </w:pPr>
      <w:r>
        <w:rPr>
          <w:rFonts w:ascii="Times New Roman" w:hAnsi="Times New Roman"/>
        </w:rPr>
        <w:t>3 Entscheidung</w:t>
      </w:r>
    </w:p>
    <w:p>
      <w:pPr>
        <w:jc w:val="left"/>
      </w:pPr>
      <w:r>
        <w:t>3.1 Belieferung wird aufrechterhalten, jedoch ab sofort ausschließlich gegen Vorkasse oder Zahlung bei Lieferung (Vorlauf maximal fünf Werktage). Kreditlimit intern: null. Jede Lieferung nur nach bestätigtem Zahlungseingang durch das Debitorenmanagement.</w:t>
      </w:r>
    </w:p>
    <w:p>
      <w:pPr>
        <w:jc w:val="left"/>
      </w:pPr>
      <w:r>
        <w:t>3.2 Altforderungen: kein gerichtliches Vorgehen zum jetzigen Zeitpunkt. Ein Mahnbescheid würde die Geschäftsbeziehung beenden und die Zahlungsfähigkeit des Kunden weiter schwächen, ohne die Einbringlichkeit zu verbessern. Gesprächsangebot zur Ratenzahlung aufrechterhalten. Die Belieferung gegen Vorkasse ist im eigenen Interesse aufrechtzuerhalten, solange kein Insolvenzantrag gestellt ist; im Antragsfall sind Altforderung und künftiges Geschäft ohnehin verloren.</w:t>
      </w:r>
    </w:p>
    <w:p>
      <w:pPr>
        <w:jc w:val="left"/>
      </w:pPr>
      <w:r>
        <w:t>3.3 Preisstellung: Listenpreise. Über einen Risikozuschlag zur Abdeckung des ungesicherten Beschaffungs- und Vorhalterisikos entscheidet die Vertriebsleitung nach Lage des ersten Quartals 2026.</w:t>
      </w:r>
    </w:p>
    <w:p>
      <w:pPr>
        <w:jc w:val="left"/>
      </w:pPr>
      <w:r>
        <w:t>3.4 Wiedervorlage: monatlich, erstmals 1. Dezember 2025. Bei weiterer Verschlechterung (erneute Rücklastschrift aus Vorkasse, Presseberichte, Antragstellung) sofortige Eskalation an die Geschäftsführung.</w:t>
      </w:r>
    </w:p>
    <w:p>
      <w:pPr>
        <w:jc w:val="left"/>
      </w:pPr>
      <w:r>
        <w:t>gez. Sarrasin — gez. Brandner</w:t>
      </w:r>
    </w:p>
    <w:p>
      <w:pPr>
        <w:jc w:val="left"/>
      </w:pPr>
      <w:r>
        <w:t>Kenntnis genommen und genehmigt: Radebeul, 4. November 2025, gez. Dr. Hallmert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