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Handakte des Insolvenzverwalters — Mandats- und Verfahrensübersicht</w:t>
      </w:r>
    </w:p>
    <w:p>
      <w:pPr>
        <w:jc w:val="left"/>
      </w:pPr>
      <w:r>
        <w:rPr>
          <w:b/>
        </w:rPr>
        <w:t>Rechtsanwalt Dr. Ludwig Stadlbauer, Insolvenzverwalter</w:t>
      </w:r>
    </w:p>
    <w:p>
      <w:pPr>
        <w:jc w:val="left"/>
      </w:pPr>
      <w:r>
        <w:t>Maximilianstraße 18, 93047 Regensburg</w:t>
      </w:r>
    </w:p>
    <w:p>
      <w:pPr>
        <w:jc w:val="left"/>
      </w:pPr>
      <w:r>
        <w:t>Az. der Handakte: 152/26 St — Donaupart / Anfechtung AVR und Kastl</w:t>
      </w:r>
    </w:p>
    <w:p>
      <w:pPr>
        <w:jc w:val="left"/>
      </w:pPr>
      <w:r>
        <w:t>Regensburg, 20.05.2026</w:t>
      </w:r>
    </w:p>
    <w:p>
      <w:pPr>
        <w:pStyle w:val="Heading2"/>
      </w:pPr>
      <w:r>
        <w:rPr>
          <w:rFonts w:ascii="Times New Roman" w:hAnsi="Times New Roman"/>
        </w:rPr>
        <w:t>1 Verfahren</w:t>
      </w:r>
    </w:p>
    <w:p>
      <w:pPr>
        <w:jc w:val="left"/>
      </w:pPr>
      <w:r>
        <w:t>Insolvenzverfahren über das Vermögen der Donaupart Präzisionstechnik GmbH, Osttangente 44, 93055 Regensburg (Automobilzulieferer, Dreh- und Frästeile), eingetragen im Handelsregister des Amtsgerichts Regensburg unter HRB 12894. Eigenantrag vom 16.02.2026; Eröffnung durch Beschluss des Amtsgerichts Regensburg vom 12.05.2026, Az. 3 IN 152/26. Der Unterzeichner ist zum Insolvenzverwalter bestellt.</w:t>
      </w:r>
    </w:p>
    <w:p>
      <w:pPr>
        <w:pStyle w:val="Heading2"/>
      </w:pPr>
      <w:r>
        <w:rPr>
          <w:rFonts w:ascii="Times New Roman" w:hAnsi="Times New Roman"/>
        </w:rPr>
        <w:t>2 Konzernverhältnisse</w:t>
      </w:r>
    </w:p>
    <w:p>
      <w:pPr>
        <w:jc w:val="left"/>
      </w:pPr>
      <w:r>
        <w:t>Die Schuldnerin ist Tochtergesellschaft der AVR Automotive Beteiligungs GmbH, Regensburg (92 Prozent der Geschäftsanteile); weitere Gesellschafter ist Herr Dipl.-Ing. Werner Kastl (8 Prozent), der frühere technische Leiter, der nicht Geschäftsführer ist. Die Schuldnerin ist seit dem 01.07.2021 in das physische Cash-Pooling des AVR-Konzerns einbezogen (Rahmenvertrag in der Akte); Poolführerin ist die Holding, die Salden werden täglich auf das Master-Konto gezogen und über ein Verrechnungskonto geführt.</w:t>
      </w:r>
    </w:p>
    <w:p>
      <w:pPr>
        <w:pStyle w:val="Heading2"/>
      </w:pPr>
      <w:r>
        <w:rPr>
          <w:rFonts w:ascii="Times New Roman" w:hAnsi="Times New Roman"/>
        </w:rPr>
        <w:t>3 Gegenstand dieser Teilakte</w:t>
      </w:r>
    </w:p>
    <w:p>
      <w:pPr>
        <w:jc w:val="left"/>
      </w:pPr>
      <w:r>
        <w:t xml:space="preserve">Drei Komplexe: </w:t>
      </w:r>
      <w:r>
        <w:rPr>
          <w:b/>
        </w:rPr>
        <w:t>Erstens</w:t>
      </w:r>
      <w:r>
        <w:t xml:space="preserve"> hat die Schuldnerin im letzten Jahr vor dem Eröffnungsantrag (16.02.2025 bis 16.02.2026) über das Cash-Pool-Verrechnungskonto per Saldo 640.000,00 EUR an die Holding zurückgeführt (Verbindlichkeit der Schuldnerin gegenüber der Holding zu Beginn: 1.480.000,00 EUR, am Ende: 840.000,00 EUR); die Bruttoabführungen im selben Zeitraum betragen 3.540.000,00 EUR bei Zuführungen von 2.900.000,00 EUR. </w:t>
      </w:r>
      <w:r>
        <w:rPr>
          <w:b/>
        </w:rPr>
        <w:t>Zweitens</w:t>
      </w:r>
      <w:r>
        <w:t xml:space="preserve"> hat die Schuldnerin am 18.06.2025 zur Besicherung eines Altdarlehens der Holding aus dem Jahr 2019 über 750.000,00 EUR ihren gesamten Maschinenpark (Buchwert 1.180.000,00 EUR) sicherungsübereignet. </w:t>
      </w:r>
      <w:r>
        <w:rPr>
          <w:b/>
        </w:rPr>
        <w:t>Drittens</w:t>
      </w:r>
      <w:r>
        <w:t xml:space="preserve"> hat die Schuldnerin am 30.09.2025 ein Darlehen des Mitgesellschafters Kastl über 45.000,00 EUR zurückgezahlt.</w:t>
      </w:r>
    </w:p>
    <w:p>
      <w:pPr>
        <w:pStyle w:val="Heading2"/>
      </w:pPr>
      <w:r>
        <w:rPr>
          <w:rFonts w:ascii="Times New Roman" w:hAnsi="Times New Roman"/>
        </w:rPr>
        <w:t>4 Unterlagen dieser Teilakte</w:t>
      </w:r>
    </w:p>
    <w:p>
      <w:pPr>
        <w:jc w:val="left"/>
      </w:pPr>
      <w:r>
        <w:t>Vorliegend sind: Handelsregisterauszug, Gesellschafterliste, Cash-Pool-Rahmenvertrag, Darlehensvertrag vom 20.05.2019, Sicherungsübereignungsvertrag vom 18.06.2025 nebst Anlagenverzeichnis, die monatliche Saldenliste des Verrechnungskontos, das Konzern-Reporting zur Lage der Schuldnerin, das Treasury-Memo der Holding vom 31.03.2025, der Treasury-Vermerk vom 14.04.2025, das Zahlungsavis zur Rückzahlung Kastl, der Eigenantrag, der Eröffnungsbeschluss, mein Anfechtungsschreiben an die Holding vom 08.06.2026 sowie das Antwortschreiben der Konzernvertreter vom 26.06.2026. Treasury-Memo und -Vermerk stammen aus dem Bestand der Schuldnerin; sie waren deren kaufmännischem Leiter jeweils nachrichtlich übermittelt worden. Die E-Mail-Korrespondenz (Sicherheitenanforderung der Holding, Rückzahlungsbitte Kastl, Schreiben des Steuerberaters Kastl) liegt als E-Mail-Dateien bei.</w:t>
      </w:r>
    </w:p>
    <w:p>
      <w:pPr>
        <w:pStyle w:val="Heading2"/>
      </w:pPr>
      <w:r>
        <w:rPr>
          <w:rFonts w:ascii="Times New Roman" w:hAnsi="Times New Roman"/>
        </w:rPr>
        <w:t>5 Offene Punkte</w:t>
      </w:r>
    </w:p>
    <w:p>
      <w:pPr>
        <w:jc w:val="left"/>
      </w:pPr>
      <w:r>
        <w:t>Zu klären ist, ob die Cash-Pool-Salden als Gesellschafterdarlehen im Sinne des § 39 Abs. 1 Nr. 5 InsO zu qualifizieren sind, ob die anfechtbare Rückführung nach § 135 Abs. 1 Nr. 2 InsO brutto (Summe der Abführungen) oder saldiert zu berechnen ist, wie die Besicherung des Altdarlehens nach § 135 Abs. 1 Nr. 1 InsO zu behandeln ist und ob der Rückzahlung an Herrn Kastl das Kleinbeteiligtenprivileg des § 39 Abs. 5 InsO entgegensteht. Auffällig ist ferner die Datierung der Zahlungsunfähigkeit im Eigenantrag (Mitte Dezember 2025), die mit dem Konzern-Reporting und dem Treasury-Memo der Holding schwer vereinbar erscheint.</w:t>
      </w:r>
    </w:p>
    <w:p>
      <w:pPr>
        <w:jc w:val="left"/>
      </w:pPr>
      <w:r>
        <w:t>Dr. Stadlbauer</w:t>
      </w:r>
    </w:p>
    <w:p>
      <w:pPr>
        <w:jc w:val="left"/>
      </w:pPr>
      <w:r>
        <w:t>Rechtsanwalt, Insolvenzverwalter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