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Rahmenvertrag über die Teilnahme am Konzern-Cash-Pooling (Zero-Balancing)</w:t>
      </w:r>
    </w:p>
    <w:p>
      <w:pPr>
        <w:jc w:val="left"/>
      </w:pPr>
      <w:r>
        <w:t>zwischen</w:t>
      </w:r>
    </w:p>
    <w:p>
      <w:pPr>
        <w:jc w:val="left"/>
      </w:pPr>
      <w:r>
        <w:t xml:space="preserve">der </w:t>
      </w:r>
      <w:r>
        <w:rPr>
          <w:b/>
        </w:rPr>
        <w:t>AVR Automotive Beteiligungs GmbH</w:t>
      </w:r>
      <w:r>
        <w:t>, Prüfeninger Straße 89, 93049 Regensburg, vertreten durch die Geschäftsführerin Dr. Carola Wenng — nachfolgend „Poolführerin" —</w:t>
      </w:r>
    </w:p>
    <w:p>
      <w:pPr>
        <w:jc w:val="left"/>
      </w:pPr>
      <w:r>
        <w:t>und</w:t>
      </w:r>
    </w:p>
    <w:p>
      <w:pPr>
        <w:jc w:val="left"/>
      </w:pPr>
      <w:r>
        <w:t xml:space="preserve">der </w:t>
      </w:r>
      <w:r>
        <w:rPr>
          <w:b/>
        </w:rPr>
        <w:t>Donaupart Präzisionstechnik GmbH</w:t>
      </w:r>
      <w:r>
        <w:t>, Osttangente 44, 93055 Regensburg, vertreten durch den Geschäftsführer Stefan Obermeier — nachfolgend „Teilnehmerin" —</w:t>
      </w:r>
    </w:p>
    <w:p>
      <w:pPr>
        <w:pStyle w:val="Heading2"/>
      </w:pPr>
      <w:r>
        <w:rPr>
          <w:rFonts w:ascii="Times New Roman" w:hAnsi="Times New Roman"/>
        </w:rPr>
        <w:t>1 Gegenstand</w:t>
      </w:r>
    </w:p>
    <w:p>
      <w:pPr>
        <w:jc w:val="left"/>
      </w:pPr>
      <w:r>
        <w:t>Die Poolführerin unterhält für die Gesellschaften des AVR-Konzerns ein zentrales Liquiditätsmanagement in Form eines physischen Cash-Poolings (Zero-Balancing). Die Teilnehmerin nimmt ab dem 01.07.2021 mit ihrem Geschäftskonto bei der Ostbayerischen Volksbank (Unterkonto) am Cash-Pooling teil.</w:t>
      </w:r>
    </w:p>
    <w:p>
      <w:pPr>
        <w:pStyle w:val="Heading2"/>
      </w:pPr>
      <w:r>
        <w:rPr>
          <w:rFonts w:ascii="Times New Roman" w:hAnsi="Times New Roman"/>
        </w:rPr>
        <w:t>2 Zero-Balancing und Verrechnungskonto</w:t>
      </w:r>
    </w:p>
    <w:p>
      <w:pPr>
        <w:jc w:val="left"/>
      </w:pPr>
      <w:r>
        <w:t xml:space="preserve">Der Saldo des Unterkontos der Teilnehmerin wird bankarbeitstäglich auf null gestellt: Guthaben werden auf das Master-Konto der Poolführerin übertragen, Sollsalden vom Master-Konto ausgeglichen. Sämtliche Überträge werden auf einem bei der Poolführerin geführten </w:t>
      </w:r>
      <w:r>
        <w:rPr>
          <w:b/>
        </w:rPr>
        <w:t>Verrechnungskonto</w:t>
      </w:r>
      <w:r>
        <w:t xml:space="preserve"> erfasst. Ein Saldo zugunsten der Poolführerin stellt eine Darlehensforderung der Poolführerin gegen die Teilnehmerin dar; ein Saldo zugunsten der Teilnehmerin eine Darlehensforderung der Teilnehmerin gegen die Poolführerin. Die Salden sind täglich fällig gestellt, jedoch bis auf Weiteres gestundet und jederzeit mit einer Frist von fünf Bankarbeitstagen kündbar.</w:t>
      </w:r>
    </w:p>
    <w:p>
      <w:pPr>
        <w:pStyle w:val="Heading2"/>
      </w:pPr>
      <w:r>
        <w:rPr>
          <w:rFonts w:ascii="Times New Roman" w:hAnsi="Times New Roman"/>
        </w:rPr>
        <w:t>3 Verzinsung</w:t>
      </w:r>
    </w:p>
    <w:p>
      <w:pPr>
        <w:jc w:val="left"/>
      </w:pPr>
      <w:r>
        <w:t>Sollsalden der Teilnehmerin werden mit 3,25 Prozent p. a., Habensalden mit 1,75 Prozent p. a. verzinst. Die Zinsen werden vierteljährlich dem Verrechnungskonto belastet oder gutgeschrieben. Die Zinssätze werden jährlich anhand eines Fremdvergleichs überprüft.</w:t>
      </w:r>
    </w:p>
    <w:p>
      <w:pPr>
        <w:pStyle w:val="Heading2"/>
      </w:pPr>
      <w:r>
        <w:rPr>
          <w:rFonts w:ascii="Times New Roman" w:hAnsi="Times New Roman"/>
        </w:rPr>
        <w:t>4 Kreditlinie und Informationspflichten</w:t>
      </w:r>
    </w:p>
    <w:p>
      <w:pPr>
        <w:jc w:val="left"/>
      </w:pPr>
      <w:r>
        <w:t>Die Poolführerin räumt der Teilnehmerin auf dem Verrechnungskonto eine interne Linie von 2.000.000,00 EUR ein. Die Poolführerin kann die Linie nach billigem Ermessen anpassen, wenn sich die Vermögens-, Finanz- oder Ertragslage der Teilnehmerin wesentlich verändert; eine Anpassung ist der Teilnehmerin mit einer Frist von zehn Bankarbeitstagen anzukündigen. Die Teilnehmerin übermittelt der Poolführerin monatlich ein Reporting nach dem Konzernstandard (Liquiditätsstatus, Eigenkapitalentwicklung, Auftragsbestand, Covenant-Kennzahlen).</w:t>
      </w:r>
    </w:p>
    <w:p>
      <w:pPr>
        <w:pStyle w:val="Heading2"/>
      </w:pPr>
      <w:r>
        <w:rPr>
          <w:rFonts w:ascii="Times New Roman" w:hAnsi="Times New Roman"/>
        </w:rPr>
        <w:t>5 Schutzbestimmungen</w:t>
      </w:r>
    </w:p>
    <w:p>
      <w:pPr>
        <w:jc w:val="left"/>
      </w:pPr>
      <w:r>
        <w:t>Die Teilnehmerin ist berechtigt, Abrufe zu verweigern und Überträge auszusetzen, soweit die Ausführung gegen § 30 GmbHG verstoßen oder ihre Fähigkeit zur Erfüllung eigener fälliger Verbindlichkeiten gefährden würde. Die Poolführerin überwacht die Werthaltigkeit der Rückzahlungsansprüche fortlaufend; verschlechtert sich die Werthaltigkeit wesentlich, sind die Vertragsparteien verpflichtet, unverzüglich über Sicherheiten, Linienanpassung oder Beendigung der Teilnahme zu verhandeln.</w:t>
      </w:r>
    </w:p>
    <w:p>
      <w:pPr>
        <w:pStyle w:val="Heading2"/>
      </w:pPr>
      <w:r>
        <w:rPr>
          <w:rFonts w:ascii="Times New Roman" w:hAnsi="Times New Roman"/>
        </w:rPr>
        <w:t>6 Laufzeit und Beendigung</w:t>
      </w:r>
    </w:p>
    <w:p>
      <w:pPr>
        <w:jc w:val="left"/>
      </w:pPr>
      <w:r>
        <w:t>Der Vertrag läuft auf unbestimmte Zeit und kann von jeder Partei mit einer Frist von drei Monaten zum Quartalsende gekündigt werden; das Recht zur außerordentlichen Kündigung bleibt unberührt. Mit Beendigung sind die Salden des Verrechnungskontos zum Ausgleich fällig.</w:t>
      </w:r>
    </w:p>
    <w:p>
      <w:pPr>
        <w:pStyle w:val="Heading2"/>
      </w:pPr>
      <w:r>
        <w:rPr>
          <w:rFonts w:ascii="Times New Roman" w:hAnsi="Times New Roman"/>
        </w:rPr>
        <w:t>7 Schlussbestimmungen</w:t>
      </w:r>
    </w:p>
    <w:p>
      <w:pPr>
        <w:jc w:val="left"/>
      </w:pPr>
      <w:r>
        <w:t>Änderungen bedürfen der Schriftform; das gilt auch für diese Klausel. Es gilt deutsches Recht. Gerichtsstand ist Regensburg.</w:t>
      </w:r>
    </w:p>
    <w:p>
      <w:pPr>
        <w:jc w:val="left"/>
      </w:pPr>
      <w:r>
        <w:t>Regensburg, den 28.06.2021</w:t>
      </w:r>
    </w:p>
    <w:p>
      <w:pPr>
        <w:jc w:val="left"/>
      </w:pPr>
      <w:r>
        <w:t>AVR Automotive Beteiligungs GmbH, Dr. Carola Wenng — Donaupart Präzisionstechnik GmbH, Stefan Obermeier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