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Treasury-Vermerk der AVR Automotive Beteiligungs GmbH: Linienführung Donaupart</w:t>
      </w:r>
    </w:p>
    <w:p>
      <w:pPr>
        <w:jc w:val="left"/>
      </w:pPr>
      <w:r>
        <w:rPr>
          <w:b/>
        </w:rPr>
        <w:t>AVR Automotive Beteiligungs GmbH — Konzern-Treasury</w:t>
      </w:r>
    </w:p>
    <w:p>
      <w:pPr>
        <w:jc w:val="left"/>
      </w:pPr>
      <w:r>
        <w:t>Prüfeninger Straße 89, 93049 Regensburg</w:t>
      </w:r>
    </w:p>
    <w:p>
      <w:pPr>
        <w:jc w:val="left"/>
      </w:pPr>
      <w:r>
        <w:t>Interner Vermerk — vertraulich</w:t>
      </w:r>
    </w:p>
    <w:p>
      <w:pPr>
        <w:jc w:val="left"/>
      </w:pPr>
      <w:r>
        <w:t>Verfasser: Falk Neurieder — Gegengezeichnet: Dr. Wenng (CFO) — nachrichtlich: Hr. Obermeier (GF Donaupart)</w:t>
      </w:r>
    </w:p>
    <w:p>
      <w:pPr>
        <w:jc w:val="left"/>
      </w:pPr>
      <w:r>
        <w:t>Regensburg, 14.04.2025</w:t>
      </w:r>
    </w:p>
    <w:p>
      <w:pPr>
        <w:jc w:val="left"/>
      </w:pPr>
      <w:r>
        <w:rPr>
          <w:b/>
        </w:rPr>
        <w:t>Betreff: Umsetzung der Beschlüsse aus der Treasury-Runde vom 09.04.2025 — Linie Donaupart</w:t>
      </w:r>
    </w:p>
    <w:p>
      <w:pPr>
        <w:pStyle w:val="Heading2"/>
      </w:pPr>
      <w:r>
        <w:rPr>
          <w:rFonts w:ascii="Times New Roman" w:hAnsi="Times New Roman"/>
        </w:rPr>
        <w:t>1 Beschlusslage</w:t>
      </w:r>
    </w:p>
    <w:p>
      <w:pPr>
        <w:jc w:val="left"/>
      </w:pPr>
      <w:r>
        <w:t xml:space="preserve">Die Treasury-Runde vom 09.04.2025 hat auf Grundlage meines Memos vom 31.03.2025 beschlossen: </w:t>
      </w:r>
      <w:r>
        <w:rPr>
          <w:b/>
        </w:rPr>
        <w:t>Die interne Linie der Donaupart wird nur gehalten, wenn die Rückführung läuft.</w:t>
      </w:r>
      <w:r>
        <w:t xml:space="preserve"> Konkret: Die Linie auf dem Verrechnungskonto wird von 2.000 TEUR in monatlichen Schritten so nachgeführt, dass der Verbindlichkeitssaldo der Donaupart bis zum Jahresende 2025 auf unter 1.000 TEUR und bis Mitte 2026 auf rund 600 TEUR sinkt. Solange die Monatsziele erreicht werden, gleicht das Master-Konto die Sollsalden des Unterkontos weiterhin bankarbeitstäglich aus; wird ein Monatsziel verfehlt, wird das Zero-Balancing für Abrufe der Donaupart ausgesetzt und nur noch einzelfallbezogen freigegeben.</w:t>
      </w:r>
    </w:p>
    <w:p>
      <w:pPr>
        <w:pStyle w:val="Heading2"/>
      </w:pPr>
      <w:r>
        <w:rPr>
          <w:rFonts w:ascii="Times New Roman" w:hAnsi="Times New Roman"/>
        </w:rPr>
        <w:t>2 Operative Umsetzung</w:t>
      </w:r>
    </w:p>
    <w:p>
      <w:pPr>
        <w:jc w:val="left"/>
      </w:pPr>
      <w:r>
        <w:t>Die Rückführung erfolgt nicht durch Sonderzahlungen, sondern über den laufenden Zahlungsverkehr: Die Debitoreneingänge der Donaupart (insbesondere die OEM-Wochenzahlungen) laufen über das Unterkonto in den Pool; Auszahlungen der Donaupart (Löhne, Material, Energie) werden nach wöchentlicher Freigabeliste bedient. Herr Obermeier hat der Staffel in der Runde zugestimmt und um Verlässlichkeit bei den Lohnläufen gebeten; diese wird zugesagt, solange die Staffel eingehalten wird. Die Nachbesicherung des 2019er-Darlehens (Maschinenpark) wird parallel von der Rechtsabteilung vorbereitet, Ziel: Unterzeichnung im Juni 2025.</w:t>
      </w:r>
    </w:p>
    <w:p>
      <w:pPr>
        <w:pStyle w:val="Heading2"/>
      </w:pPr>
      <w:r>
        <w:rPr>
          <w:rFonts w:ascii="Times New Roman" w:hAnsi="Times New Roman"/>
        </w:rPr>
        <w:t>3 Risikohinweis</w:t>
      </w:r>
    </w:p>
    <w:p>
      <w:pPr>
        <w:jc w:val="left"/>
      </w:pPr>
      <w:r>
        <w:t>Auf den Hinweis der Rechtsabteilung, dass Rückführungen von Gesellschafterdarlehen und deren Besicherung im Fall einer späteren Insolvenz der Donaupart anfechtungsrechtlich relevant werden können (§§ 135, 39 InsO), wird verwiesen. Die Runde hat entschieden, die Staffel gleichwohl umzusetzen, da der Verkaufsprozess Zerspanung nach Einschätzung von M&amp;A bis Jahresende zu einer Gesamtlösung führen soll und die Donaupart bis dahin aus dem operativen Cash-Flow lebensfähig gehalten wird. Wiedervorlage quartalsweise.</w:t>
      </w:r>
    </w:p>
    <w:p>
      <w:pPr>
        <w:jc w:val="left"/>
      </w:pPr>
      <w:r>
        <w:t>Neurieder — Dr. Wenng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