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Antwortschreiben der Konzernobergesellschaft auf das Anfechtungs- und Rückgewährverlangen</w:t>
      </w:r>
    </w:p>
    <w:p>
      <w:pPr>
        <w:jc w:val="left"/>
      </w:pPr>
      <w:r>
        <w:rPr>
          <w:b/>
        </w:rPr>
        <w:t>Rechtsanwalt Dr. Peter Immel</w:t>
      </w:r>
    </w:p>
    <w:p>
      <w:pPr>
        <w:jc w:val="left"/>
      </w:pPr>
      <w:r>
        <w:t>Fachanwalt für Insolvenz- und Sanierungsrecht</w:t>
      </w:r>
    </w:p>
    <w:p>
      <w:pPr>
        <w:jc w:val="left"/>
      </w:pPr>
      <w:r>
        <w:t>Brienner Straße 44, 80333 München</w:t>
      </w:r>
    </w:p>
    <w:p>
      <w:pPr>
        <w:jc w:val="left"/>
      </w:pPr>
      <w:r>
        <w:t>Telefon 089 552301-0 — kanzlei@immel-restrukturierung.de</w:t>
      </w:r>
    </w:p>
    <w:p>
      <w:pPr>
        <w:jc w:val="left"/>
      </w:pPr>
      <w:r>
        <w:t>Unser Zeichen: 0788/26 IM — Ihr Zeichen: 152/26 St</w:t>
      </w:r>
    </w:p>
    <w:p>
      <w:pPr>
        <w:jc w:val="left"/>
      </w:pPr>
      <w:r>
        <w:t>Herrn Rechtsanwalt</w:t>
      </w:r>
    </w:p>
    <w:p>
      <w:pPr>
        <w:jc w:val="left"/>
      </w:pPr>
      <w:r>
        <w:t>Dr. Ludwig Stadlbauer</w:t>
      </w:r>
    </w:p>
    <w:p>
      <w:pPr>
        <w:jc w:val="left"/>
      </w:pPr>
      <w:r>
        <w:t>— Insolvenzverwalter —</w:t>
      </w:r>
    </w:p>
    <w:p>
      <w:pPr>
        <w:jc w:val="left"/>
      </w:pPr>
      <w:r>
        <w:t>Maximilianstraße 18</w:t>
      </w:r>
    </w:p>
    <w:p>
      <w:pPr>
        <w:jc w:val="left"/>
      </w:pPr>
      <w:r>
        <w:t>93047 Regensburg</w:t>
      </w:r>
    </w:p>
    <w:p>
      <w:pPr>
        <w:jc w:val="left"/>
      </w:pPr>
      <w:r>
        <w:t>München, 26.06.2026</w:t>
      </w:r>
    </w:p>
    <w:p>
      <w:pPr>
        <w:jc w:val="left"/>
      </w:pPr>
      <w:r>
        <w:rPr>
          <w:b/>
        </w:rPr>
        <w:t>Betreff: Insolvenzverfahren Donaupart Präzisionstechnik GmbH (AG Regensburg, 3 IN 152/26) — Ihr Schreiben vom 08.06.2026</w:t>
      </w:r>
    </w:p>
    <w:p>
      <w:pPr>
        <w:jc w:val="left"/>
      </w:pPr>
      <w:r>
        <w:t>Sehr geehrter Herr Kollege Dr. Stadlbauer,</w:t>
      </w:r>
    </w:p>
    <w:p>
      <w:pPr>
        <w:jc w:val="left"/>
      </w:pPr>
      <w:r>
        <w:t>ich zeige die Vertretung der AVR Automotive Beteiligungs GmbH an; ordnungsgemäße Bevollmächtigung wird anwaltlich versichert. Die geltend gemachten Ansprüche werden dem Grunde und der Höhe nach zurückgewiesen. Im Einzelnen:</w:t>
      </w:r>
    </w:p>
    <w:p>
      <w:pPr>
        <w:pStyle w:val="Heading2"/>
      </w:pPr>
      <w:r>
        <w:rPr>
          <w:rFonts w:ascii="Times New Roman" w:hAnsi="Times New Roman"/>
        </w:rPr>
        <w:t>1 Cash-Pool-Salden sind keine Gesellschafterdarlehen im Sinne Ihrer Lesart</w:t>
      </w:r>
    </w:p>
    <w:p>
      <w:pPr>
        <w:jc w:val="left"/>
      </w:pPr>
      <w:r>
        <w:t>Das Zero-Balancing diente nicht der Kreditgewährung, sondern dem konzernweiten Liquiditätsausgleich als reine Verrechnungs- und Dienstleistungsbeziehung. Die täglichen Überträge sind Bestandteile eines einheitlichen Kontokorrents, dessen einzelne Buchungen keine selbständigen Darlehensgewährungen und erst recht keine selbständigen „Befriedigungen" sind. Zahlungen der Kunden der Schuldnerin, die auf deren eigenem Unterkonto eingingen, wurden lediglich technisch auf das Master-Konto gezogen; im Gegenzug hat meine Mandantin sämtliche Auszahlungen der Schuldnerin — einschließlich aller Lohnläufe bis Januar 2026 — bedient. Es fehlt daher bereits an einer Rechtshandlung der Schuldnerin, die einen Gesellschafterdarlehensrückzahlungstatbestand erfüllen könnte.</w:t>
      </w:r>
    </w:p>
    <w:p>
      <w:pPr>
        <w:pStyle w:val="Heading2"/>
      </w:pPr>
      <w:r>
        <w:rPr>
          <w:rFonts w:ascii="Times New Roman" w:hAnsi="Times New Roman"/>
        </w:rPr>
        <w:t>2 Jedenfalls keine Bruttobetrachtung</w:t>
      </w:r>
    </w:p>
    <w:p>
      <w:pPr>
        <w:jc w:val="left"/>
      </w:pPr>
      <w:r>
        <w:t>Selbst wenn man die Verrechnungssalden als Gesellschafterdarlehen qualifizieren wollte, wäre Ihre Bruttoberechnung von 3.540.000,00 EUR verfehlt. Bei einem revolvierenden Kontokorrentkredit kann die Masse durch das Auf und Ab der Valutierung nicht um die Summe aller Einzelbuchungen verkürzt worden sein; maßgeblich wäre allenfalls die Differenz zwischen dem höchsten Saldo im Jahreszeitraum und dem Saldo bei Verfahrenseröffnung, hier also höchstens der von Ihnen hilfsweise angesetzte Betrag von 640.000,00 EUR. Diesen Betrag hätte meine Mandantin zudem nicht „erhalten": Den Abführungen von 3.540.000,00 EUR stehen im selben Zeitraum Zuführungen von 2.900.000,00 EUR gegenüber, mit denen meine Mandantin den Geschäftsbetrieb der Schuldnerin — Löhne, Material, Energie — überhaupt erst aufrechterhalten hat. Diese Neuzuführungen sind als bargeschäftsähnlicher Leistungsaustausch, jedenfalls im Wege der Vorteilsausgleichung, anspruchsmindernd zu berücksichtigen.</w:t>
      </w:r>
    </w:p>
    <w:p>
      <w:pPr>
        <w:pStyle w:val="Heading2"/>
      </w:pPr>
      <w:r>
        <w:rPr>
          <w:rFonts w:ascii="Times New Roman" w:hAnsi="Times New Roman"/>
        </w:rPr>
        <w:t>3 Zur Sicherungsübereignung</w:t>
      </w:r>
    </w:p>
    <w:p>
      <w:pPr>
        <w:jc w:val="left"/>
      </w:pPr>
      <w:r>
        <w:t>Die Sicherungsübereignung vom 18.06.2025 beruht auf der bereits 2019 vereinbarten Nachbesicherungsklausel; sie war damit von Anfang an Teil der Finanzierungsabrede und nicht Ausdruck einer Krisenreaktion. Der Maschinenpark stand zudem im Zeitpunkt der Bestellung in keinem auffälligen Wertverhältnis zur gesicherten Forderung von 750.000,00 EUR nebst Zinsen. Rein vorsorglich weisen wir darauf hin, dass die Freigabeklausel in Ziffer 5 des Vertrags einer etwaigen Übersicherung abhilft. Einer Verwertung des Maschinenparks durch Sie widerspricht meine Mandantin; die Aussonderungs- bzw. Absonderungsrechte werden ausdrücklich aufrechterhalten.</w:t>
      </w:r>
    </w:p>
    <w:p>
      <w:pPr>
        <w:pStyle w:val="Heading2"/>
      </w:pPr>
      <w:r>
        <w:rPr>
          <w:rFonts w:ascii="Times New Roman" w:hAnsi="Times New Roman"/>
        </w:rPr>
        <w:t>4 Zur Lage der Schuldnerin</w:t>
      </w:r>
    </w:p>
    <w:p>
      <w:pPr>
        <w:jc w:val="left"/>
      </w:pPr>
      <w:r>
        <w:t>Die von Ihnen zitierten internen Unterlagen geben die Einschätzung einzelner Mitarbeiter der Treasury wieder und sind keine insolvenzrechtliche Feststellung. Maßgeblich ist, dass die Schuldnerin bis zum Scheitern des Verkaufsprozesses im Dezember 2025 sämtliche fälligen Verbindlichkeiten über die Konzernfinanzierung bedient hat; das bestätigt der Eigenantrag des Geschäftsführers Obermeier, der die Zahlungsunfähigkeit auf Mitte Dezember 2025 datiert. Eine Gesellschaft, die zahlt, ist nicht zahlungsunfähig. Auf die Kenntnisfrage kommt es nach Ihrem eigenen Vortrag nicht an, so dass wir uns hierzu nur vorsorglich verwahren.</w:t>
      </w:r>
    </w:p>
    <w:p>
      <w:pPr>
        <w:pStyle w:val="Heading2"/>
      </w:pPr>
      <w:r>
        <w:rPr>
          <w:rFonts w:ascii="Times New Roman" w:hAnsi="Times New Roman"/>
        </w:rPr>
        <w:t>5 Ergebnis und Gesprächsangebot</w:t>
      </w:r>
    </w:p>
    <w:p>
      <w:pPr>
        <w:jc w:val="left"/>
      </w:pPr>
      <w:r>
        <w:t>Ansprüche in der geltend gemachten Höhe bestehen nicht. Ungeachtet dessen ist meine Mandantin — auch mit Blick auf die laufende Betriebsfortführung und die gemeinsame Verantwortung für die Arbeitsplätze — bereit, über eine Gesamtlösung zu sprechen, die die Verrechnungssalden, die Maschinenfrage und die Nachrangthematik einbezieht. Ich rege ein Gespräch in der Kalenderwoche 29 an und bitte um Terminvorschläge.</w:t>
      </w:r>
    </w:p>
    <w:p>
      <w:pPr>
        <w:jc w:val="left"/>
      </w:pPr>
      <w:r>
        <w:t>Mit kollegialen Grüßen</w:t>
      </w:r>
    </w:p>
    <w:p>
      <w:pPr>
        <w:jc w:val="left"/>
      </w:pPr>
      <w:r>
        <w:t>Dr. Peter Immel</w:t>
      </w:r>
    </w:p>
    <w:p>
      <w:pPr>
        <w:jc w:val="left"/>
      </w:pPr>
      <w:r>
        <w:t>Rechtsanwalt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