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Handaktenvermerk nach Eingang der Erwiderung</w:t>
      </w:r>
    </w:p>
    <w:p>
      <w:pPr>
        <w:jc w:val="left"/>
      </w:pPr>
      <w:r>
        <w:rPr>
          <w:b/>
        </w:rPr>
        <w:t>Hellwege &amp; Kollegen Rechtsanwälte</w:t>
      </w:r>
      <w:r>
        <w:t xml:space="preserve"> · Bismarckstraße 82 · 41061 Mönchengladbach</w:t>
      </w:r>
    </w:p>
    <w:p>
      <w:pPr>
        <w:jc w:val="left"/>
      </w:pPr>
      <w:r>
        <w:t>Unser Zeichen: 220/26 CH · Verfasser: Rechtsanwalt Dr. Carsten Hellwege · Diktat: 02.07.2026</w:t>
      </w:r>
    </w:p>
    <w:p>
      <w:pPr>
        <w:jc w:val="left"/>
      </w:pPr>
      <w:r>
        <w:rPr>
          <w:b/>
        </w:rPr>
        <w:t>Insolvenzverfahren Vondering Metallform GmbH (Amtsgericht Mönchengladbach, 32 IN 71/26) — Vermerk zur Erwiderung Brandstätter vom 30.06.2026 und zum weiteren Vorgehen</w:t>
      </w:r>
    </w:p>
    <w:p>
      <w:pPr>
        <w:jc w:val="left"/>
      </w:pPr>
      <w:r>
        <w:t>1 Würdigung der Erwiderung</w:t>
      </w:r>
    </w:p>
    <w:p>
      <w:pPr>
        <w:jc w:val="left"/>
      </w:pPr>
      <w:r>
        <w:t>1.1 Der Einwand der wertausschöpfenden Belastung ist das Kernproblem des Falls und wird über Erfolg oder Misserfolg der Anfechtung des Kaufvertrags entscheiden. Die Gegenseite stellt auf den dinglichen Haftungsumfang (Nominalbetrag nebst Grundschuldzinsen) ab, wir auf die Valutierung. Zu klären ist, welchen Betrag die Bank im Verwertungsfall nach der Sicherungszweckerklärung tatsächlich hätte beanspruchen dürfen; die Sicherungszweckerklärung vom 14.03.2018 ist bei der Niederrhein-Bank AG anzufordern. Nach der Valutenbestätigung vom 10.11.2025 waren es 1.790.000,00 EUR. Der Rückgewähranspruch bezüglich des nicht valutierten Teils war entgegen der Gegenseite kein bloß theoretischer Posten: Die Bank hat die Geschäftsverbindung beendet und keine neuen Kredite ausgereicht, sodass eine Wiederausnutzung der Grundschuld nicht mehr in Betracht kam.</w:t>
      </w:r>
    </w:p>
    <w:p>
      <w:pPr>
        <w:jc w:val="left"/>
      </w:pPr>
      <w:r>
        <w:t>1.2 Zum Gutachten: Der Marktanpassungsabschlag von zehn Prozent ist angreifbar, weil er nicht die Marktverhältnisse, sondern den individuellen Verwertungsdruck der Schuldnerin abbildet. Es ist zu prüfen, ob ein gerichtliches Sachverständigengutachten im Anfechtungsprozess einen um den Abschlag bereinigten Wert bestätigen würde. Vorsorglich sollte die Sachverständige Dallmer um Erläuterung gebeten werden, ob der Abschlag eine Vorgabe der Auftraggeberin umsetzte.</w:t>
      </w:r>
    </w:p>
    <w:p>
      <w:pPr>
        <w:jc w:val="left"/>
      </w:pPr>
      <w:r>
        <w:t>1.3 Zur Provision: Die Behauptung einer Kontaktanbahnung über den Golfclub steht in Widerspruch zur E-Mail des Herrn Casparius vom 29.09.2025, in der dieser den Erstkontakt ausdrücklich mit der eigenen Ankaufsrecherche begründet und um Benennung eines Ansprechpartners bittet — von einer Vorbefassung des Stefan Vondering ist dort keine Rede. Die E-Mail des Geschäftsführers an seinen Bruder vom 03.11.2025 spricht ebenfalls gegen eine echte Vermittlungsleistung und trägt zugleich den Benachteiligungsvorsatz. Beide Nachrichten sind aus den gesicherten Postfächern forensisch gesichert und verwertbar.</w:t>
      </w:r>
    </w:p>
    <w:p>
      <w:pPr>
        <w:jc w:val="left"/>
      </w:pPr>
      <w:r>
        <w:t>1.4 Zur Zahlungsunfähigkeit: Der Widerspruch zwischen Eigenantrag (Eintritt Anfang Februar 2026) und rekonstruiertem Liquiditätsstatus (Eintritt Mitte April 2025) geht nicht zu unseren Lasten, sondern zu Lasten des Geschäftsführers, der im Antrag erkennbar den Zeitraum vor dem Grundstücksverkauf ausgeblendet hat. Die Rückgaben von Lastschriften ab April 2025, das Beanstandungsschreiben der Bank vom 18.09.2025 und die Vollstreckungsankündigung der Stadtkasse vom 08.10.2025 stützen den Status. Für den Prozess ist der Status um die zugrunde liegenden Buchhaltungsdaten (OPOS-Listen, Bankauszüge) als Anlagenkonvolut zu ergänzen.</w:t>
      </w:r>
    </w:p>
    <w:p>
      <w:pPr>
        <w:jc w:val="left"/>
      </w:pPr>
      <w:r>
        <w:t>2 Weiteres Vorgehen</w:t>
      </w:r>
    </w:p>
    <w:p>
      <w:pPr>
        <w:jc w:val="left"/>
      </w:pPr>
      <w:r>
        <w:t>2.1 Klageentwurf gegen Stefan Vondering auf Zahlung von 60.000,00 EUR nebst Zinsen bis zum 31.07.2026 fertigen; hier ist die Erfolgsaussicht am höchsten, weil es auf die Benachteiligung durch die Provisionszahlung ankommt und der Einwand der wertausschöpfenden Belastung diese Zahlung von vornherein nicht erfasst — die 60.000,00 EUR waren gerade der freie, der Masse entzogene Erlösanteil.</w:t>
      </w:r>
    </w:p>
    <w:p>
      <w:pPr>
        <w:jc w:val="left"/>
      </w:pPr>
      <w:r>
        <w:t>2.2 Gegenüber der Erwerberin zunächst das Gesprächsangebot aufgreifen; Vergleichsrahmen: Wertersatz zwischen 100.000,00 und 200.000,00 EUR unter Aufrechterhaltung des Mietvertrags. Verjährung (§ 146 InsO, drei Jahre ab Verfahrenseröffnung) ist nicht kritisch, gleichwohl Fristenkontrolle notieren.</w:t>
      </w:r>
    </w:p>
    <w:p>
      <w:pPr>
        <w:jc w:val="left"/>
      </w:pPr>
      <w:r>
        <w:t>2.3 Gläubigerausschuss im Berichtstermin am 12.08.2026 über beide Anfechtungskomplexe unterrichten.</w:t>
      </w:r>
    </w:p>
    <w:p>
      <w:pPr>
        <w:jc w:val="left"/>
      </w:pPr>
      <w:r>
        <w:t>Dr. Hellwege</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