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Handakte der Insolvenzverwalterin — Mandats- und Verfahrensübersicht</w:t>
      </w:r>
    </w:p>
    <w:p>
      <w:pPr>
        <w:jc w:val="left"/>
      </w:pPr>
      <w:r>
        <w:rPr>
          <w:b/>
        </w:rPr>
        <w:t>Rechtsanwältin Dr. Friederike Salzwedel, Insolvenzverwalterin</w:t>
      </w:r>
    </w:p>
    <w:p>
      <w:pPr>
        <w:jc w:val="left"/>
      </w:pPr>
      <w:r>
        <w:t>Wilhelmshöher Allee 204, 34119 Kassel</w:t>
      </w:r>
    </w:p>
    <w:p>
      <w:pPr>
        <w:jc w:val="left"/>
      </w:pPr>
      <w:r>
        <w:t>Az. der Handakte: 118/26 S — Fuldablick / Anfechtung Dämmtec</w:t>
      </w:r>
    </w:p>
    <w:p>
      <w:pPr>
        <w:jc w:val="left"/>
      </w:pPr>
      <w:r>
        <w:t>Kassel, 12.05.2026</w:t>
      </w:r>
    </w:p>
    <w:p>
      <w:pPr>
        <w:pStyle w:val="Heading2"/>
      </w:pPr>
      <w:r>
        <w:rPr>
          <w:rFonts w:ascii="Times New Roman" w:hAnsi="Times New Roman"/>
        </w:rPr>
        <w:t>1 Verfahren</w:t>
      </w:r>
    </w:p>
    <w:p>
      <w:pPr>
        <w:jc w:val="left"/>
      </w:pPr>
      <w:r>
        <w:t>Insolvenzverfahren über das Vermögen der Fuldablick Baustoffhandel GmbH, Leipziger Straße 312, 34123 Kassel, eingetragen im Handelsregister des Amtsgerichts Kassel unter HRB 17922. Eigenantrag vom 09.02.2026; Eröffnung durch Beschluss des Amtsgerichts Kassel vom 01.05.2026, Az. 660 IN 71/26. Die Unterzeichnerin ist zur Insolvenzverwalterin bestellt.</w:t>
      </w:r>
    </w:p>
    <w:p>
      <w:pPr>
        <w:pStyle w:val="Heading2"/>
      </w:pPr>
      <w:r>
        <w:rPr>
          <w:rFonts w:ascii="Times New Roman" w:hAnsi="Times New Roman"/>
        </w:rPr>
        <w:t>2 Gegenstand dieser Teilakte</w:t>
      </w:r>
    </w:p>
    <w:p>
      <w:pPr>
        <w:jc w:val="left"/>
      </w:pPr>
      <w:r>
        <w:t>Geprüft wird die Anfechtbarkeit eines Geschäfts vom 18.12.2025: Die Schuldnerin hat ihrem Hauptlieferanten, der Dämmtec Werra GmbH (Dämmstoffwerk, Eschwege), zur Tilgung offener Kaufpreisforderungen von 118.000,00 EUR ihr gesamtes Restlager an Dämmplatten (Buchwert laut Lagerliste 96.000,00 EUR, im Vertrag angesetzt mit 94.000,00 EUR) an Erfüllungs statt übereignet und ihr zusätzlich zwei Kundenforderungen über zusammen 24.370,00 EUR (angesetzt mit 24.000,00 EUR) abgetreten. Das Lager wurde am 19.12.2025 abgeholt; die Abtretungen wurden den Drittschuldnern am 22.12.2025 angezeigt.</w:t>
      </w:r>
    </w:p>
    <w:p>
      <w:pPr>
        <w:pStyle w:val="Heading2"/>
      </w:pPr>
      <w:r>
        <w:rPr>
          <w:rFonts w:ascii="Times New Roman" w:hAnsi="Times New Roman"/>
        </w:rPr>
        <w:t>3 Unterlagen dieser Teilakte</w:t>
      </w:r>
    </w:p>
    <w:p>
      <w:pPr>
        <w:jc w:val="left"/>
      </w:pPr>
      <w:r>
        <w:t>Vorliegend sind: der Handelsregisterauszug, das Sanierungs-Kurzgutachten der Brebeck &amp; Cie. Wirtschaftsprüfungsgesellschaft mbH vom 10.12.2024, das Protokoll der Gesellschafterversammlung vom 27.01.2025, der aus der Buchhaltung rekonstruierte Liquiditätsstatus (Stichtagsreihe), die OPOS-Liste zum Lieferantenkonto Dämmtec, das Besichtigungsprotokoll vom 11.12.2025, die Übereignungs- und Tilgungsvereinbarung vom 18.12.2025 nebst Lagerliste, das Inventur- und Übergabeprotokoll vom 19.12.2025, die beiden Abtretungsanzeigen, der Eigenantrag, der Eröffnungsbeschluss, mein Anfechtungsschreiben vom 26.05.2026, die Erwiderung vom 15.06.2026 sowie meine Replik vom 29.06.2026.</w:t>
      </w:r>
    </w:p>
    <w:p>
      <w:pPr>
        <w:jc w:val="left"/>
      </w:pPr>
      <w:r>
        <w:t>Ferner liegen der Akte E-Mail-Dateien aus dem gesicherten Postfach des früheren Vertriebsmitarbeiters der Dämmtec, Herrn Sascha Kurrle, bei, die dieser mir nach seinem Ausscheiden bei der Dämmtec im April 2026 freiwillig überlassen hat, sowie ein von Herrn Timo Wenzel (Einkauf der Schuldnerin) exportierter WhatsApp-Verlauf. Die beweisrechtliche Verwertbarkeit und der Beweiswert dieser Unterlagen sind gesondert zu würdigen.</w:t>
      </w:r>
    </w:p>
    <w:p>
      <w:pPr>
        <w:pStyle w:val="Heading2"/>
      </w:pPr>
      <w:r>
        <w:rPr>
          <w:rFonts w:ascii="Times New Roman" w:hAnsi="Times New Roman"/>
        </w:rPr>
        <w:t>4 Offene Punkte</w:t>
      </w:r>
    </w:p>
    <w:p>
      <w:pPr>
        <w:jc w:val="left"/>
      </w:pPr>
      <w:r>
        <w:t>Zu klären ist erstens, ob die Übereignung des Warenlagers und die Abtretungen eine Deckung darstellen, die die Dämmtec „nicht in der Art" zu beanspruchen hatte. Zweitens ist der Zeitraum zu bestimmen (zweiter Monat vor dem Eröffnungsantrag) und zu prüfen, ob die Schuldnerin am 18.12.2025 zahlungsunfähig war oder ob es stattdessen oder zusätzlich auf die Kenntnis der Dämmtec von der Gläubigerbenachteiligung ankommt. Drittens fällt auf, dass der Eigenantrag den Eintritt der Zahlungsunfähigkeit auf Mitte Januar 2026 datiert, während der Liquiditätsstatus seit Februar 2025 eine erhebliche dauerhafte Unterdeckung ausweist und bereits das Kurzgutachten vom Dezember 2024 die Fortführung nur bei einem Gesellschafterzuschuss für gesichert hielt, der nie geleistet worden ist.</w:t>
      </w:r>
    </w:p>
    <w:p>
      <w:pPr>
        <w:jc w:val="left"/>
      </w:pPr>
      <w:r>
        <w:t>Dr. Salzwedel</w:t>
      </w:r>
    </w:p>
    <w:p>
      <w:pPr>
        <w:jc w:val="left"/>
      </w:pPr>
      <w:r>
        <w:t>Rechtsanwältin, Insolvenzverwalterin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