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Erwiderung der Anfechtungsgegnerin auf das Rückgewährverlangen</w:t>
      </w:r>
    </w:p>
    <w:p>
      <w:pPr>
        <w:jc w:val="left"/>
      </w:pPr>
      <w:r>
        <w:rPr>
          <w:b/>
        </w:rPr>
        <w:t>Rechtsanwalt Dr. Jochen Appelt</w:t>
      </w:r>
    </w:p>
    <w:p>
      <w:pPr>
        <w:jc w:val="left"/>
      </w:pPr>
      <w:r>
        <w:t>Fachanwalt für Insolvenz- und Sanierungsrecht</w:t>
      </w:r>
    </w:p>
    <w:p>
      <w:pPr>
        <w:jc w:val="left"/>
      </w:pPr>
      <w:r>
        <w:t>Weender Straße 62, 37073 Göttingen</w:t>
      </w:r>
    </w:p>
    <w:p>
      <w:pPr>
        <w:jc w:val="left"/>
      </w:pPr>
      <w:r>
        <w:t>Telefon 0551 48802-0 — kanzlei@appelt-insolvenzrecht.de</w:t>
      </w:r>
    </w:p>
    <w:p>
      <w:pPr>
        <w:jc w:val="left"/>
      </w:pPr>
      <w:r>
        <w:t>Unser Zeichen: 0533/26 AP — Ihr Zeichen: 118/26 S</w:t>
      </w:r>
    </w:p>
    <w:p>
      <w:pPr>
        <w:jc w:val="left"/>
      </w:pPr>
      <w:r>
        <w:t>Frau Rechtsanwältin</w:t>
      </w:r>
    </w:p>
    <w:p>
      <w:pPr>
        <w:jc w:val="left"/>
      </w:pPr>
      <w:r>
        <w:t>Dr. Friederike Salzwedel</w:t>
      </w:r>
    </w:p>
    <w:p>
      <w:pPr>
        <w:jc w:val="left"/>
      </w:pPr>
      <w:r>
        <w:t>— Insolvenzverwalterin —</w:t>
      </w:r>
    </w:p>
    <w:p>
      <w:pPr>
        <w:jc w:val="left"/>
      </w:pPr>
      <w:r>
        <w:t>Wilhelmshöher Allee 204</w:t>
      </w:r>
    </w:p>
    <w:p>
      <w:pPr>
        <w:jc w:val="left"/>
      </w:pPr>
      <w:r>
        <w:t>34119 Kassel</w:t>
      </w:r>
    </w:p>
    <w:p>
      <w:pPr>
        <w:jc w:val="left"/>
      </w:pPr>
      <w:r>
        <w:t>Göttingen, 15.06.2026</w:t>
      </w:r>
    </w:p>
    <w:p>
      <w:pPr>
        <w:jc w:val="left"/>
      </w:pPr>
      <w:r>
        <w:rPr>
          <w:b/>
        </w:rPr>
        <w:t>Betreff: Insolvenzverfahren Fuldablick Baustoffhandel GmbH (AG Kassel, 660 IN 71/26) — Ihr Anfechtungsschreiben vom 26.05.2026</w:t>
      </w:r>
    </w:p>
    <w:p>
      <w:pPr>
        <w:jc w:val="left"/>
      </w:pPr>
      <w:r>
        <w:t>Sehr geehrte Frau Kollegin Dr. Salzwedel,</w:t>
      </w:r>
    </w:p>
    <w:p>
      <w:pPr>
        <w:jc w:val="left"/>
      </w:pPr>
      <w:r>
        <w:t>ich zeige die Vertretung der Dämmtec Werra GmbH an; ordnungsgemäße Bevollmächtigung wird anwaltlich versichert. Die geltend gemachten Ansprüche bestehen nicht. Im Einzelnen:</w:t>
      </w:r>
    </w:p>
    <w:p>
      <w:pPr>
        <w:pStyle w:val="Heading2"/>
      </w:pPr>
      <w:r>
        <w:rPr>
          <w:rFonts w:ascii="Times New Roman" w:hAnsi="Times New Roman"/>
        </w:rPr>
        <w:t>1 Keine Zahlungsunfähigkeit am 18.12.2025</w:t>
      </w:r>
    </w:p>
    <w:p>
      <w:pPr>
        <w:jc w:val="left"/>
      </w:pPr>
      <w:r>
        <w:t xml:space="preserve">Die von Ihnen behauptete Zahlungsunfähigkeit bereits ab Februar 2025 wird bestritten. Ihr „rekonstruierter" Liquiditätsstatus ist eine Parteiaufstellung, deren Grundlagen meine Mandantin nicht überprüfen kann; sie steht zudem in offenem Widerspruch zum Eigenantrag des Geschäftsführers Grebe, der den Eintritt der Zahlungsunfähigkeit auf Mitte Januar 2026 — also </w:t>
      </w:r>
      <w:r>
        <w:rPr>
          <w:b/>
        </w:rPr>
        <w:t>nach</w:t>
      </w:r>
      <w:r>
        <w:t xml:space="preserve"> dem angefochtenen Geschäft — datiert, und zu dem Umstand, dass die Schuldnerin noch im Dezember 2025 laufend Kunden beliefert, Barverkäufe getätigt und Löhne gezahlt hat. Eine bloße Zahlungsstockung im Weihnachtsgeschäft genügt nicht. Damit entfällt § 131 Abs. 1 Nr. 2 InsO.</w:t>
      </w:r>
    </w:p>
    <w:p>
      <w:pPr>
        <w:pStyle w:val="Heading2"/>
      </w:pPr>
      <w:r>
        <w:rPr>
          <w:rFonts w:ascii="Times New Roman" w:hAnsi="Times New Roman"/>
        </w:rPr>
        <w:t>2 Keine Kenntnis einer Gläubigerbenachteiligung</w:t>
      </w:r>
    </w:p>
    <w:p>
      <w:pPr>
        <w:jc w:val="left"/>
      </w:pPr>
      <w:r>
        <w:t>Auch § 131 Abs. 1 Nr. 3 InsO greift nicht. Meine Mandantin kannte weder eine Benachteiligung der übrigen Gläubiger noch Umstände, die zwingend darauf schließen ließen. Die Besichtigung vom 11.12.2025 diente der ordnungsgemäßen kaufmännischen Bewertung der angebotenen Ware; das Protokoll hält ausdrücklich fest, dass der Geschäftsführer der Schuldnerin die Lage als „angespannt, aber beherrschbar" beschrieb und auf Gespräche mit der Hausbank sowie das Frühjahrsgeschäft verwies. Leere Regale in einzelnen Sortimenten belegen eine Sortimentsstraffung, wie sie der Baustoffhandel seinerzeit flächendeckend betrieben hat, keine Insolvenz. Soweit Sie auf „interne Korrespondenz" meiner Mandantin anspielen, ist deren Herkunft ungeklärt; die Unterlagen stammen offenbar von einem im Streit ausgeschiedenen Mitarbeiter, dessen Motivlage auf der Hand liegt. Ihre Verwertung behalten wir uns vor zu rügen. Der Sache nach belegt eine pointierte Formulierung eines einzelnen Mitarbeiters keine Kenntnis der Geschäftsleitung.</w:t>
      </w:r>
    </w:p>
    <w:p>
      <w:pPr>
        <w:pStyle w:val="Heading2"/>
      </w:pPr>
      <w:r>
        <w:rPr>
          <w:rFonts w:ascii="Times New Roman" w:hAnsi="Times New Roman"/>
        </w:rPr>
        <w:t>3 Keine Inkongruenz, jedenfalls Bargeschäft</w:t>
      </w:r>
    </w:p>
    <w:p>
      <w:pPr>
        <w:jc w:val="left"/>
      </w:pPr>
      <w:r>
        <w:t xml:space="preserve">Die Deckung war nicht inkongruent. Zwischen den Parteien bestand eine jahrelange Rahmenlieferbeziehung, in der Warenrückgaben und Verrechnungen üblich waren; die Rücknahme eigener, unverbauter und originalverpackter Ware gegen Ausbuchung des Saldos ist wirtschaftlich nichts anderes als die Rückabwicklung der eigenen Lieferungen. Jedenfalls liegt in der Kombination aus Saldoausbuchung, Verzicht auf Nachforderung und </w:t>
      </w:r>
      <w:r>
        <w:rPr>
          <w:b/>
        </w:rPr>
        <w:t>Wiederaufnahme der Belieferung ab Januar 2026</w:t>
      </w:r>
      <w:r>
        <w:t xml:space="preserve"> ein unmittelbarer, gleichwertiger Leistungsaustausch im Sinne des § 142 InsO: Die Schuldnerin hat für die Hingabe von Ware im Buchwert von 96.000,00 EUR und zweier risikobehafteter Forderungen die Befreiung von Verbindlichkeiten über 118.000,00 EUR sowie die Wiederbelieferung erhalten — ein für sie vorteilhaftes Geschäft, das die übrigen Gläubiger nicht benachteiligt, sondern die Fortführung erst ermöglicht hat.</w:t>
      </w:r>
    </w:p>
    <w:p>
      <w:pPr>
        <w:pStyle w:val="Heading2"/>
      </w:pPr>
      <w:r>
        <w:rPr>
          <w:rFonts w:ascii="Times New Roman" w:hAnsi="Times New Roman"/>
        </w:rPr>
        <w:t>4 Zur Höhe</w:t>
      </w:r>
    </w:p>
    <w:p>
      <w:pPr>
        <w:jc w:val="left"/>
      </w:pPr>
      <w:r>
        <w:t>Höchst vorsorglich: Der angesetzte Wertersatz von 94.500,00 EUR ist überhöht. Aus dem Abverkauf der Charge FULDA-12-25 hat meine Mandantin bis zum 31.05.2026 netto 61.200,00 EUR erlöst; 84 Paletten sind noch vorhanden. Aus den abgetretenen Forderungen ist lediglich die Forderung gegen die Hochbau Menzel GmbH (14.650,00 EUR) vollständig eingegangen; die Zimmerei Brandau hat unter Berufung auf Mängelrügen bisher nur 4.500,00 EUR gezahlt. Auskunft hierzu wird hiermit erteilt; weitergehende Ansprüche werden zurückgewiesen.</w:t>
      </w:r>
    </w:p>
    <w:p>
      <w:pPr>
        <w:jc w:val="left"/>
      </w:pPr>
      <w:r>
        <w:t>Meine Mandantin ist an einer wirtschaftlich vernünftigen Lösung interessiert, hält die Anfechtung aber dem Grunde nach für unbegründet.</w:t>
      </w:r>
    </w:p>
    <w:p>
      <w:pPr>
        <w:jc w:val="left"/>
      </w:pPr>
      <w:r>
        <w:t>Mit kollegialen Grüßen</w:t>
      </w:r>
    </w:p>
    <w:p>
      <w:pPr>
        <w:jc w:val="left"/>
      </w:pPr>
      <w:r>
        <w:t>Dr. Jochen Appelt</w:t>
      </w:r>
    </w:p>
    <w:p>
      <w:pPr>
        <w:jc w:val="left"/>
      </w:pPr>
      <w:r>
        <w:t>Rechtsanwalt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