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Handakte des Insolvenzverwalters — Mandats- und Verfahrensübersicht</w:t>
      </w:r>
    </w:p>
    <w:p>
      <w:pPr>
        <w:jc w:val="left"/>
      </w:pPr>
      <w:r>
        <w:rPr>
          <w:b/>
        </w:rPr>
        <w:t>Rechtsanwalt Dr. Cornelius Wehrfritz, Insolvenzverwalter</w:t>
      </w:r>
    </w:p>
    <w:p>
      <w:pPr>
        <w:jc w:val="left"/>
      </w:pPr>
      <w:r>
        <w:t>Fürther Straße 112, 90429 Nürnberg</w:t>
      </w:r>
    </w:p>
    <w:p>
      <w:pPr>
        <w:jc w:val="left"/>
      </w:pPr>
      <w:r>
        <w:t>Az. der Handakte: 214/26 W — Frankenletter / Anfechtung Karow</w:t>
      </w:r>
    </w:p>
    <w:p>
      <w:pPr>
        <w:jc w:val="left"/>
      </w:pPr>
      <w:r>
        <w:t>Nürnberg, 08.06.2026</w:t>
      </w:r>
    </w:p>
    <w:p>
      <w:pPr>
        <w:pStyle w:val="Heading2"/>
      </w:pPr>
      <w:r>
        <w:rPr>
          <w:rFonts w:ascii="Times New Roman" w:hAnsi="Times New Roman"/>
        </w:rPr>
        <w:t>1 Verfahren</w:t>
      </w:r>
    </w:p>
    <w:p>
      <w:pPr>
        <w:jc w:val="left"/>
      </w:pPr>
      <w:r>
        <w:t>Insolvenzverfahren über das Vermögen der Frankenletter Druck- und Medien GmbH, Waldstraße 41, 90763 Fürth, eingetragen im Handelsregister des Amtsgerichts Fürth unter HRB 21447. Eigenantrag vom 12.03.2026, eingegangen beim Amtsgericht Fürth — Insolvenzgericht — am selben Tag. Eröffnung des Verfahrens durch Beschluss vom 01.06.2026, Az. IN 145/26. Der Unterzeichner ist zum Insolvenzverwalter bestellt.</w:t>
      </w:r>
    </w:p>
    <w:p>
      <w:pPr>
        <w:pStyle w:val="Heading2"/>
      </w:pPr>
      <w:r>
        <w:rPr>
          <w:rFonts w:ascii="Times New Roman" w:hAnsi="Times New Roman"/>
        </w:rPr>
        <w:t>2 Gegenstand dieser Teilakte</w:t>
      </w:r>
    </w:p>
    <w:p>
      <w:pPr>
        <w:jc w:val="left"/>
      </w:pPr>
      <w:r>
        <w:t>Geprüft wird die Anfechtbarkeit von drei Vermögensabflüssen an die Karow Verpackungswerk GmbH, Schwabach, in Höhe von zusammen 41.750,00 EUR. Sämtliche Abflüsse stehen im Zusammenhang mit der Zwangsvollstreckung aus dem Vollstreckungsbescheid des Amtsgerichts Coburg vom 19.01.2026 (Az. 26-0483321-0-4):</w:t>
      </w:r>
    </w:p>
    <w:p>
      <w:pPr>
        <w:jc w:val="left"/>
      </w:pPr>
      <w:r>
        <w:t>Erstens eine Barzahlung von 9.750,00 EUR an den Obergerichtsvollzieher Heckel am 18.02.2026 anlässlich eines Vollstreckungsversuchs an der Warenrampe der Schuldnerin. Zweitens die Pfändung und Wegnahme von Bargeld aus der Betriebskasse in Höhe von 12.000,00 EUR am 25.02.2026. Drittens eine Überweisung von 20.000,00 EUR vom Geschäftskonto der Schuldnerin am 04.03.2026, ausgeführt nach schriftlicher Ankündigung weiterer Vollstreckungsmaßnahmen durch den Gerichtsvollzieher und im Verwendungszweck als Zahlung „zur Abwendung der Vollstreckung" bezeichnet.</w:t>
      </w:r>
    </w:p>
    <w:p>
      <w:pPr>
        <w:pStyle w:val="Heading2"/>
      </w:pPr>
      <w:r>
        <w:rPr>
          <w:rFonts w:ascii="Times New Roman" w:hAnsi="Times New Roman"/>
        </w:rPr>
        <w:t>3 Unterlagen dieser Teilakte</w:t>
      </w:r>
    </w:p>
    <w:p>
      <w:pPr>
        <w:jc w:val="left"/>
      </w:pPr>
      <w:r>
        <w:t>In der Teilakte liegen vor: der Handelsregisterauszug der Schuldnerin, das Mahnkonvolut der Gläubigerin (drei Mahnschreiben September bis November 2025), der Vollstreckungsbescheid, die beiden Protokolle des Gerichtsvollziehers, dessen Zahlungsaufforderung vom 02.03.2026, die Zahlungsbelege, der Eigenantrag, der Eröffnungsbeschluss, die aus der Buchhaltung der Schuldnerin gesicherte BWA-Reihe Januar 2025 bis Februar 2026 nebst Bankspiegel, meine Fristenberechnung, mein Anfechtungsschreiben vom 22.06.2026 sowie die Erwiderung der Gegenseite vom 01.07.2026 mit Anlage.</w:t>
      </w:r>
    </w:p>
    <w:p>
      <w:pPr>
        <w:jc w:val="left"/>
      </w:pPr>
      <w:r>
        <w:t>Die elektronische Korrespondenz der Buchhaltung der Schuldnerin mit der Gläubigerin (Ratenzahlungsbitte vom 10.11.2025 und Antwort vom 14.11.2025) wurde aus dem gesicherten Mailpostfach der Schuldnerin exportiert und liegt der Akte als E-Mail-Dateien bei.</w:t>
      </w:r>
    </w:p>
    <w:p>
      <w:pPr>
        <w:pStyle w:val="Heading2"/>
      </w:pPr>
      <w:r>
        <w:rPr>
          <w:rFonts w:ascii="Times New Roman" w:hAnsi="Times New Roman"/>
        </w:rPr>
        <w:t>4 Offene Punkte</w:t>
      </w:r>
    </w:p>
    <w:p>
      <w:pPr>
        <w:jc w:val="left"/>
      </w:pPr>
      <w:r>
        <w:t>Zu klären ist, auf welchen Zeitpunkt die einzelnen Rechtshandlungen im Sinne des § 140 InsO vorgenommen wurden, wie sich die Monatsfrist des § 131 Abs. 1 Nr. 1 InsO nach § 139 InsO berechnet und wie die Verteidigung der Gegenseite zu bewerten ist, die sich im Kern auf fehlende Kenntnis von der Krise und auf die Freiwilligkeit der dritten Zahlung stützt. Ferner ist der tatsächliche Eintritt der Zahlungsunfähigkeit anhand der gesicherten Finanzunterlagen zu bestimmen; die Angabe im Eigenantrag, die Zahlungsunfähigkeit sei erst Anfang März 2026 eingetreten, erscheint nach erster Durchsicht des Bankspiegels nicht belastbar.</w:t>
      </w:r>
    </w:p>
    <w:p>
      <w:pPr>
        <w:jc w:val="left"/>
      </w:pPr>
      <w:r>
        <w:t>Dr. Wehrfritz</w:t>
      </w:r>
    </w:p>
    <w:p>
      <w:pPr>
        <w:jc w:val="left"/>
      </w:pPr>
      <w:r>
        <w:t>Rechtsanwalt, 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