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Erwiderung der Anfechtungsgegnerin auf das Rückgewährverlangen</w:t>
      </w:r>
    </w:p>
    <w:p>
      <w:pPr>
        <w:jc w:val="left"/>
      </w:pPr>
      <w:r>
        <w:rPr>
          <w:b/>
        </w:rPr>
        <w:t>Rechtsanwältin Dr. Sabine Ottmann</w:t>
      </w:r>
    </w:p>
    <w:p>
      <w:pPr>
        <w:jc w:val="left"/>
      </w:pPr>
      <w:r>
        <w:t>Fachanwältin für Handels- und Gesellschaftsrecht</w:t>
      </w:r>
    </w:p>
    <w:p>
      <w:pPr>
        <w:jc w:val="left"/>
      </w:pPr>
      <w:r>
        <w:t>Königstorgraben 5, 90402 Nürnberg</w:t>
      </w:r>
    </w:p>
    <w:p>
      <w:pPr>
        <w:jc w:val="left"/>
      </w:pPr>
      <w:r>
        <w:t>Telefon 0911 99408-0 — kanzlei@ottmann-recht.de</w:t>
      </w:r>
    </w:p>
    <w:p>
      <w:pPr>
        <w:jc w:val="left"/>
      </w:pPr>
      <w:r>
        <w:t>Unser Zeichen: 0412/26 OT — Ihr Zeichen: 214/26 W</w:t>
      </w:r>
    </w:p>
    <w:p>
      <w:pPr>
        <w:jc w:val="left"/>
      </w:pPr>
      <w:r>
        <w:t>Herrn Rechtsanwalt</w:t>
      </w:r>
    </w:p>
    <w:p>
      <w:pPr>
        <w:jc w:val="left"/>
      </w:pPr>
      <w:r>
        <w:t>Dr. Cornelius Wehrfritz</w:t>
      </w:r>
    </w:p>
    <w:p>
      <w:pPr>
        <w:jc w:val="left"/>
      </w:pPr>
      <w:r>
        <w:t>— Insolvenzverwalter —</w:t>
      </w:r>
    </w:p>
    <w:p>
      <w:pPr>
        <w:jc w:val="left"/>
      </w:pPr>
      <w:r>
        <w:t>Fürther Straße 112</w:t>
      </w:r>
    </w:p>
    <w:p>
      <w:pPr>
        <w:jc w:val="left"/>
      </w:pPr>
      <w:r>
        <w:t>90429 Nürnberg</w:t>
      </w:r>
    </w:p>
    <w:p>
      <w:pPr>
        <w:jc w:val="left"/>
      </w:pPr>
      <w:r>
        <w:t>Nürnberg, 01.07.2026</w:t>
      </w:r>
    </w:p>
    <w:p>
      <w:pPr>
        <w:jc w:val="left"/>
      </w:pPr>
      <w:r>
        <w:rPr>
          <w:b/>
        </w:rPr>
        <w:t>Betreff: Insolvenzverfahren Frankenletter Druck- und Medien GmbH (AG Fürth, IN 145/26) — Ihr Anfechtungsschreiben vom 22.06.2026</w:t>
      </w:r>
    </w:p>
    <w:p>
      <w:pPr>
        <w:jc w:val="left"/>
      </w:pPr>
      <w:r>
        <w:t>Sehr geehrter Herr Kollege Dr. Wehrfritz,</w:t>
      </w:r>
    </w:p>
    <w:p>
      <w:pPr>
        <w:jc w:val="left"/>
      </w:pPr>
      <w:r>
        <w:t>ich zeige an, dass mich die Karow Verpackungswerk GmbH mit der Wahrnehmung ihrer Interessen beauftragt hat. Ordnungsgemäße Bevollmächtigung wird anwaltlich versichert. Namens und in Vollmacht meiner Mandantin weise ich die geltend gemachten Ansprüche zurück. Zahlungen werden nicht erfolgen. Im Einzelnen:</w:t>
      </w:r>
    </w:p>
    <w:p>
      <w:pPr>
        <w:pStyle w:val="Heading2"/>
      </w:pPr>
      <w:r>
        <w:rPr>
          <w:rFonts w:ascii="Times New Roman" w:hAnsi="Times New Roman"/>
        </w:rPr>
        <w:t>1 Keine Kenntnis von einer Krise der Schuldnerin</w:t>
      </w:r>
    </w:p>
    <w:p>
      <w:pPr>
        <w:jc w:val="left"/>
      </w:pPr>
      <w:r>
        <w:t xml:space="preserve">Meine Mandantin hatte zu keinem Zeitpunkt Kenntnis von einer Zahlungsunfähigkeit der Schuldnerin oder von Umständen, die zwingend auf eine solche schließen ließen. Verzögerungen von Zahlungszielen um mehrere Wochen sind in der Druck- und Verpackungsbranche seit Jahren verbreitet und besagen für sich genommen nichts. Die Schuldnerin hat gegenüber dem Vertrieb meiner Mandantin noch im November 2025 auf einen bevorstehenden Großauftrag eines kirchlichen Auftraggebers verwiesen; hiervon durfte meine Mandantin ausgehen. Auch die einmalige Rücklastschrift vom 05.09.2025 rechtfertigt keinen Krisenschluss, zumal sie nach Auskunft der Schuldnerin auf einer Umstellung der Kontoverbindung beruhen sollte. Zum Beleg der internen Einschätzung meiner Mandantin überreiche ich als </w:t>
      </w:r>
      <w:r>
        <w:rPr>
          <w:b/>
        </w:rPr>
        <w:t>Anlage AG 1</w:t>
      </w:r>
      <w:r>
        <w:t xml:space="preserve"> den Vermerk ihrer Debitorenbuchhaltung vom 17.11.2025. Ohne Kenntnis der Krise scheidet eine Anfechtung aus; jedenfalls fehlt es an jedem unlauteren Zusammenwirken.</w:t>
      </w:r>
    </w:p>
    <w:p>
      <w:pPr>
        <w:pStyle w:val="Heading2"/>
      </w:pPr>
      <w:r>
        <w:rPr>
          <w:rFonts w:ascii="Times New Roman" w:hAnsi="Times New Roman"/>
        </w:rPr>
        <w:t>2 Die Überweisung vom 04.03.2026 war eine freiwillige, kongruente Erfüllung</w:t>
      </w:r>
    </w:p>
    <w:p>
      <w:pPr>
        <w:jc w:val="left"/>
      </w:pPr>
      <w:r>
        <w:t>Die Zahlung über 20.000,00 EUR hat die Schuldnerin aus freien Stücken durch Überweisung von ihrem Geschäftskonto erbracht. Der Gerichtsvollzieher hat an diesem Tag keine Vollstreckungshandlung vorgenommen; ein Termin stand erst für den 11.03.2026 im Raum. Wer eine fällige, titulierte Schuld durch gewöhnliche Banküberweisung tilgt, gewährt genau die Deckung, die der Gläubiger zu beanspruchen hat — nämlich Erfüllung nach § 362 BGB. Die Zahlung war daher kongruent; § 131 InsO ist auf sie von vornherein nicht anwendbar. Allenfalls käme § 130 InsO in Betracht, dessen subjektive Voraussetzungen aus den unter Ziffer 1 genannten Gründen nicht vorliegen.</w:t>
      </w:r>
    </w:p>
    <w:p>
      <w:pPr>
        <w:pStyle w:val="Heading2"/>
      </w:pPr>
      <w:r>
        <w:rPr>
          <w:rFonts w:ascii="Times New Roman" w:hAnsi="Times New Roman"/>
        </w:rPr>
        <w:t>3 Zur Vollstreckung im Übrigen</w:t>
      </w:r>
    </w:p>
    <w:p>
      <w:pPr>
        <w:jc w:val="left"/>
      </w:pPr>
      <w:r>
        <w:t>Die Beträge vom 18.02.2026 und 25.02.2026 hat meine Mandantin auf dem rechtsstaatlich vorgesehenen Weg der Einzelzwangsvollstreckung aus einem unangefochtenen Titel erlangt. Die Schuldnerin hat gegen den Mahnbescheid und den Vollstreckungsbescheid keinen Rechtsbehelf eingelegt und die Forderung damit der Sache nach anerkannt. Es kann meiner Mandantin nicht zum Nachteil gereichen, dass sie ihre Rechte konsequent verfolgt hat, während andere Gläubiger untätig geblieben sind. Von einem bevorstehenden Insolvenzantrag wusste meine Mandantin nichts; sie hat davon erst durch die Veröffentlichung des Eröffnungsbeschlusses erfahren.</w:t>
      </w:r>
    </w:p>
    <w:p>
      <w:pPr>
        <w:pStyle w:val="Heading2"/>
      </w:pPr>
      <w:r>
        <w:rPr>
          <w:rFonts w:ascii="Times New Roman" w:hAnsi="Times New Roman"/>
        </w:rPr>
        <w:t>4 Zur angeblichen Zahlungsunfähigkeit seit Februar 2025</w:t>
      </w:r>
    </w:p>
    <w:p>
      <w:pPr>
        <w:jc w:val="left"/>
      </w:pPr>
      <w:r>
        <w:t>Die Behauptung, die Schuldnerin sei bereits seit Februar 2025 zahlungsunfähig gewesen, wird mit Nichtwissen bestritten. Sie steht in offenem Widerspruch zum Eigenantrag der Schuldnerin vom 12.03.2026, in dem der Geschäftsführer selbst erklärt hat, die Zahlungsunfähigkeit sei erst Anfang März 2026 eingetreten. Es ist bemerkenswert, dass Sie Ihrem eigenen Schuldner insoweit nicht folgen wollen.</w:t>
      </w:r>
    </w:p>
    <w:p>
      <w:pPr>
        <w:pStyle w:val="Heading2"/>
      </w:pPr>
      <w:r>
        <w:rPr>
          <w:rFonts w:ascii="Times New Roman" w:hAnsi="Times New Roman"/>
        </w:rPr>
        <w:t>5 Ergebnis</w:t>
      </w:r>
    </w:p>
    <w:p>
      <w:pPr>
        <w:jc w:val="left"/>
      </w:pPr>
      <w:r>
        <w:t>Meine Mandantin sieht dem angekündigten Klageverfahren gelassen entgegen, regt jedoch an, zunächst die Einschätzung eines unabhängigen Dritten zur Frage der Zahlungsunfähigkeit einzuholen. Einer gütlichen Gesamtbereinigung verschließt sich meine Mandantin nicht, eine solche käme jedoch allenfalls hinsichtlich eines Teilbetrags der Überweisung vom 04.03.2026 in Betracht.</w:t>
      </w:r>
    </w:p>
    <w:p>
      <w:pPr>
        <w:jc w:val="left"/>
      </w:pPr>
      <w:r>
        <w:t>Mit kollegialen Grüßen</w:t>
      </w:r>
    </w:p>
    <w:p>
      <w:pPr>
        <w:jc w:val="left"/>
      </w:pPr>
      <w:r>
        <w:t>Dr. Sabine Ottmann</w:t>
      </w:r>
    </w:p>
    <w:p>
      <w:pPr>
        <w:jc w:val="left"/>
      </w:pPr>
      <w:r>
        <w:t>Rechtsanwältin</w:t>
      </w:r>
    </w:p>
    <w:p>
      <w:pPr>
        <w:jc w:val="left"/>
      </w:pPr>
      <w:r>
        <w:t>Anlage AG 1: Interner Vermerk der Debitorenbuchhaltung der Karow Verpackungswerk GmbH vom 17.11.2025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