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 AG 1: Interner Vermerk der Debitorenbuchhaltung der Karow Verpackungswerk GmbH</w:t>
      </w:r>
    </w:p>
    <w:p>
      <w:pPr>
        <w:jc w:val="left"/>
      </w:pPr>
      <w:r>
        <w:rPr>
          <w:b/>
        </w:rPr>
        <w:t>Karow Verpackungswerk GmbH — Finanzbuchhaltung / Debitorenmanagement</w:t>
      </w:r>
    </w:p>
    <w:p>
      <w:pPr>
        <w:jc w:val="left"/>
      </w:pPr>
      <w:r>
        <w:t>Nördliche Ringstraße 27, 91126 Schwabach</w:t>
      </w:r>
    </w:p>
    <w:p>
      <w:pPr>
        <w:jc w:val="left"/>
      </w:pPr>
      <w:r>
        <w:t>Interner Vermerk — nur für die Geschäftsleitung</w:t>
      </w:r>
    </w:p>
    <w:p>
      <w:pPr>
        <w:jc w:val="left"/>
      </w:pPr>
      <w:r>
        <w:t>Verfasserin: Kerstin Ebner — Verteiler: Herr Karow, Herr Wittich (Vertriebsleitung)</w:t>
      </w:r>
    </w:p>
    <w:p>
      <w:pPr>
        <w:jc w:val="left"/>
      </w:pPr>
      <w:r>
        <w:t>Schwabach, 17.11.2025</w:t>
      </w:r>
    </w:p>
    <w:p>
      <w:pPr>
        <w:jc w:val="left"/>
      </w:pPr>
      <w:r>
        <w:rPr>
          <w:b/>
        </w:rPr>
        <w:t>Betreff: Kundenkonto 40217 Frankenletter Druck- und Medien GmbH — Kreditlimit und weiteres Vorgehen</w:t>
      </w:r>
    </w:p>
    <w:p>
      <w:pPr>
        <w:jc w:val="left"/>
      </w:pPr>
      <w:r>
        <w:t>Zum Kundenkonto 40217 halte ich den Stand nach dem Telefonat von Herrn Wittich mit Herrn Pflugbeil vom 06.11.2025 und der E-Mail-Korrespondenz vom 10./14.11.2025 fest:</w:t>
      </w:r>
    </w:p>
    <w:p>
      <w:pPr>
        <w:jc w:val="left"/>
      </w:pPr>
      <w:r>
        <w:t xml:space="preserve">Der offene Saldo beträgt 58.900,00 EUR aus vier Rechnungen seit Juli 2025. Die Zahlungsweise des Kunden ist </w:t>
      </w:r>
      <w:r>
        <w:rPr>
          <w:b/>
        </w:rPr>
        <w:t>seit dem Frühjahr 2025 durchgehend schleppend</w:t>
      </w:r>
      <w:r>
        <w:t>; die im Kundenstamm hinterlegte Zahlungszielüberschreitung liegt im Schnitt der letzten sechs Monate bei 47 Tagen (Vorjahr: 9 Tage). Die Lastschrift vom 05.09.2025 kam mangels Deckung zurück. Die Warenkreditversicherung hat das Limit für den Kunden am 28.10.2025 von 60.000,00 EUR auf 20.000,00 EUR herabgesetzt und eine weitere Reduzierung angekündigt.</w:t>
      </w:r>
    </w:p>
    <w:p>
      <w:pPr>
        <w:jc w:val="left"/>
      </w:pPr>
      <w:r>
        <w:t>Andererseits hat Herr Pflugbeil im Telefonat vom 06.11.2025 nachvollziehbar geschildert, dass ein Katalog-Großauftrag einer Landeskirche mit einem Volumen von rund 400.000,00 EUR „unterschriftsreif" sei und im ersten Quartal 2026 zu erheblichen Zahlungseingängen führen werde. Herr Wittich hält den Auftrag für realistisch, da die Schuldnerin diesen Auftraggeber bereits 2022 beliefert hat. Die erbetene Streckung auf zwölf Monatsraten ist gleichwohl nicht darstellbar, weil die Warenkreditversicherung bei derartigen Vereinbarungen die Deckung versagt.</w:t>
      </w:r>
    </w:p>
    <w:p>
      <w:pPr>
        <w:jc w:val="left"/>
      </w:pPr>
      <w:r>
        <w:rPr>
          <w:b/>
        </w:rPr>
        <w:t>Empfehlung:</w:t>
      </w:r>
      <w:r>
        <w:t xml:space="preserve"> Ratenzahlung ablehnen, Konto auf Vorkasse belassen, letzte Mahnung mit Fristsetzung bis Anfang Dezember, danach ohne weiteres Zuwarten Mahnbescheid. Angesichts der herabgesetzten Versicherungsdeckung sollten wir „vor der Welle" bleiben und uns notfalls </w:t>
      </w:r>
      <w:r>
        <w:rPr>
          <w:b/>
        </w:rPr>
        <w:t>im Wege der Vollstreckung Vorrang vor den übrigen Lieferanten sichern</w:t>
      </w:r>
      <w:r>
        <w:t>, solange beim Kunden noch Umsätze laufen. Ob der Kirchenauftrag kommt, können wir nicht beurteilen; darauf verlassen sollten wir uns nicht.</w:t>
      </w:r>
    </w:p>
    <w:p>
      <w:pPr>
        <w:jc w:val="left"/>
      </w:pPr>
      <w:r>
        <w:t>Ebner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