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Handaktenvermerk des Insolvenzverwalters nach Eingang der Erwiderung</w:t>
      </w:r>
    </w:p>
    <w:p>
      <w:pPr>
        <w:jc w:val="left"/>
      </w:pPr>
      <w:r>
        <w:rPr>
          <w:b/>
        </w:rPr>
        <w:t>Rechtsanwalt Dr. Cornelius Wehrfritz, Insolvenzverwalter</w:t>
      </w:r>
    </w:p>
    <w:p>
      <w:pPr>
        <w:jc w:val="left"/>
      </w:pPr>
      <w:r>
        <w:t>Fürther Straße 112, 90429 Nürnberg</w:t>
      </w:r>
    </w:p>
    <w:p>
      <w:pPr>
        <w:jc w:val="left"/>
      </w:pPr>
      <w:r>
        <w:t>Az. der Handakte: 214/26 W — Frankenletter / Anfechtung Karow</w:t>
      </w:r>
    </w:p>
    <w:p>
      <w:pPr>
        <w:jc w:val="left"/>
      </w:pPr>
      <w:r>
        <w:t>Nürnberg, 02.07.2026</w:t>
      </w:r>
    </w:p>
    <w:p>
      <w:pPr>
        <w:jc w:val="left"/>
      </w:pPr>
      <w:r>
        <w:rPr>
          <w:b/>
        </w:rPr>
        <w:t>Betreff: Erwiderung RAin Dr. Ottmann vom 01.07.2026 — erste Bewertung und weiteres Vorgehen</w:t>
      </w:r>
    </w:p>
    <w:p>
      <w:pPr>
        <w:pStyle w:val="Heading2"/>
      </w:pPr>
      <w:r>
        <w:rPr>
          <w:rFonts w:ascii="Times New Roman" w:hAnsi="Times New Roman"/>
        </w:rPr>
        <w:t>1 Eingang und Kernaussagen der Gegenseite</w:t>
      </w:r>
    </w:p>
    <w:p>
      <w:pPr>
        <w:jc w:val="left"/>
      </w:pPr>
      <w:r>
        <w:t>Die Erwiderung vom 01.07.2026 ist gestern eingegangen. Die Gegenseite verteidigt sich im Kern mit drei Linien: Erstens habe die Mandantin von der Krise nichts gewusst; hierzu wird der interne Vermerk der Debitorenbuchhaltung vom 17.11.2025 vorgelegt. Zweitens sei die Überweisung vom 04.03.2026 eine freiwillige und damit kongruente Erfüllung gewesen. Drittens wird der Eintritt der Zahlungsunfähigkeit vor März 2026 unter Verweis auf den Eigenantrag bestritten.</w:t>
      </w:r>
    </w:p>
    <w:p>
      <w:pPr>
        <w:pStyle w:val="Heading2"/>
      </w:pPr>
      <w:r>
        <w:rPr>
          <w:rFonts w:ascii="Times New Roman" w:hAnsi="Times New Roman"/>
        </w:rPr>
        <w:t>2 Zu prüfende Punkte für die Klage</w:t>
      </w:r>
    </w:p>
    <w:p>
      <w:pPr>
        <w:jc w:val="left"/>
      </w:pPr>
      <w:r>
        <w:t>Zu prüfen ist zunächst, ob und für welchen der geltend gemachten Anfechtungstatbestände die von der Gegenseite in den Mittelpunkt gestellte Kenntnisfrage überhaupt Tatbestandsmerkmal ist; die Erwiderung verhält sich zu § 131 Abs. 1 Nr. 1 InsO auffällig knapp. Sodann ist die Einordnung der Überweisung vom 04.03.2026 aufzuarbeiten: Der zeitliche Ablauf (Zahlungsaufforderung des Gerichtsvollziehers vom 02.03.2026 mit konkreter Terminbestimmung auf den 11.03.2026, Freigabezettel des Geschäftsführers vom 03.03.2026 mit dem Zusatz „sonst stehen die am 11.03. wieder auf dem Hof", Verwendungszweck „zur Abwendung der Vollstreckung") ist vollständig dokumentiert und in der Klage als Indizkette darzustellen. Schließlich ist der Eintritt der Zahlungsunfähigkeit anhand des Bankspiegels und der BWA-Reihe zu datieren; die Diskrepanz zwischen dem Eigenantrag (Eintritt Anfang März 2026) und den Zahlen (durchgehende Unterdeckung von über 40 Prozent seit dem 01.02.2025) ist aufzuklären und in der Klage zu erläutern. Der Geschäftsführer Pflugbeil ist hierzu anzuhören; seine Angabe im Eigenantrag dürfte sich als Schutzbehauptung mit Blick auf die Antragspflicht nach § 15a InsO erweisen, was aber sauber zu belegen ist.</w:t>
      </w:r>
    </w:p>
    <w:p>
      <w:pPr>
        <w:pStyle w:val="Heading2"/>
      </w:pPr>
      <w:r>
        <w:rPr>
          <w:rFonts w:ascii="Times New Roman" w:hAnsi="Times New Roman"/>
        </w:rPr>
        <w:t>3 Bemerkenswertes aus der Anlage AG 1</w:t>
      </w:r>
    </w:p>
    <w:p>
      <w:pPr>
        <w:jc w:val="left"/>
      </w:pPr>
      <w:r>
        <w:t>Der von der Gegenseite selbst vorgelegte Vermerk vom 17.11.2025 enthält neben der Bezugnahme auf den erhofften Kirchenauftrag auch die Passagen zur seit Frühjahr 2025 schleppenden Zahlungsweise (47 Tage Überschreitung), zur Rücklastschrift, zur Limitkürzung der Warenkreditversicherung und die Empfehlung, sich „im Wege der Vollstreckung Vorrang vor den übrigen Lieferanten [zu] sichern". Beweiswert und Reichweite dieser Passagen sind für die hilfsweise geltend gemachten Tatbestände (§ 131 Abs. 1 Nr. 2, § 130 Abs. 1 Satz 1 Nr. 1 InsO) zu würdigen; die Deutung ist nicht eindeutig, da der Vermerk zugleich eine ernsthafte Sanierungserwartung dokumentiert.</w:t>
      </w:r>
    </w:p>
    <w:p>
      <w:pPr>
        <w:pStyle w:val="Heading2"/>
      </w:pPr>
      <w:r>
        <w:rPr>
          <w:rFonts w:ascii="Times New Roman" w:hAnsi="Times New Roman"/>
        </w:rPr>
        <w:t>4 Weiteres Vorgehen</w:t>
      </w:r>
    </w:p>
    <w:p>
      <w:pPr>
        <w:jc w:val="left"/>
      </w:pPr>
      <w:r>
        <w:t>Klageentwurf zum Landgericht Nürnberg-Fürth bis zum 20.07.2026. Streitwert: 41.750,00 EUR. Vorher: Anforderung der vollständigen Vollstreckungsakte DR II 96/26 beim Gerichtsvollzieher, Anhörung der Buchhalterin Sedlmeir als Zeugin, Sicherung des Freigabezettels vom 03.03.2026 im Original. Das Vergleichsangebot der Gegenseite (Teilbetrag der 20.000,00 EUR) wird derzeit nicht angenommen; Wiedervorlage nach Anhörung Sedlmeir.</w:t>
      </w:r>
    </w:p>
    <w:p>
      <w:pPr>
        <w:jc w:val="left"/>
      </w:pPr>
      <w:r>
        <w:t>Dr. Wehrfritz</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