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der Insolvenzverwalterin</w:t>
      </w:r>
    </w:p>
    <w:p>
      <w:pPr>
        <w:jc w:val="left"/>
      </w:pPr>
      <w:r>
        <w:rPr>
          <w:b/>
        </w:rPr>
        <w:t>Rechtsanwältin Dr. Friederike Sanftleben</w:t>
      </w:r>
      <w:r>
        <w:t xml:space="preserve"> · Insolvenzverwaltung · Am Bach 4 · 33602 Bielefeld · Telefon 0521 32988-0</w:t>
      </w:r>
    </w:p>
    <w:p>
      <w:pPr>
        <w:jc w:val="left"/>
      </w:pPr>
      <w:r>
        <w:t>Unser Zeichen: 44/26 FS · Sekretariat: Frau Plettenberg</w:t>
      </w:r>
    </w:p>
    <w:p>
      <w:pPr>
        <w:jc w:val="left"/>
      </w:pPr>
      <w:r>
        <w:t>Bielefeld, den 11.05.2026</w:t>
      </w:r>
    </w:p>
    <w:p>
      <w:pPr>
        <w:jc w:val="left"/>
      </w:pPr>
      <w:r>
        <w:t>HebeFix Beschlagtechnik GmbH</w:t>
      </w:r>
    </w:p>
    <w:p>
      <w:pPr>
        <w:jc w:val="left"/>
      </w:pPr>
      <w:r>
        <w:t>— vertreten durch die Geschäftsführerin Petra Stollberg —</w:t>
      </w:r>
    </w:p>
    <w:p>
      <w:pPr>
        <w:jc w:val="left"/>
      </w:pPr>
      <w:r>
        <w:t>Poststraße 12</w:t>
      </w:r>
    </w:p>
    <w:p>
      <w:pPr>
        <w:jc w:val="left"/>
      </w:pPr>
      <w:r>
        <w:t>42551 Velbert</w:t>
      </w:r>
    </w:p>
    <w:p>
      <w:pPr>
        <w:jc w:val="left"/>
      </w:pPr>
      <w:r>
        <w:rPr>
          <w:b/>
        </w:rPr>
        <w:t>Betreff: Insolvenzverfahren über das Vermögen der Teutoburger Möbelwerk GmbH (Amtsgericht Bielefeld, 43 IN 12/26) — Anfechtung von Zahlungen über insgesamt 87.400,00 EUR nach §§ 129, 130 Abs. 1 Satz 1 Nr. 1, 143 InsO</w:t>
      </w:r>
    </w:p>
    <w:p>
      <w:pPr>
        <w:jc w:val="left"/>
      </w:pPr>
      <w:r>
        <w:t>Sehr geehrte Frau Stollberg, sehr geehrte Damen und Herren,</w:t>
      </w:r>
    </w:p>
    <w:p>
      <w:pPr>
        <w:jc w:val="left"/>
      </w:pPr>
      <w:r>
        <w:t>durch Beschluss des Amtsgerichts Bielefeld vom 01.04.2026 bin ich zur Insolvenzverwalterin über das Vermögen der Teutoburger Möbelwerk GmbH, Bielefeld, bestellt worden. Der Eröffnungsantrag der Schuldnerin ist am 12.01.2026 beim Insolvenzgericht eingegangen. In Ausübung meines Amtes erkläre ich die Anfechtung der folgenden Zahlungen und fordere Sie zur Rückgewähr auf.</w:t>
      </w:r>
    </w:p>
    <w:p>
      <w:pPr>
        <w:jc w:val="left"/>
      </w:pPr>
      <w:r>
        <w:t>1 Angefochtene Rechtshandlungen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Zahlung</w:t>
            </w:r>
          </w:p>
        </w:tc>
        <w:tc>
          <w:tcPr>
            <w:tcW w:type="dxa" w:w="1814"/>
          </w:tcPr>
          <w:p>
            <w:r>
              <w:rPr>
                <w:rFonts w:ascii="Times New Roman" w:hAnsi="Times New Roman"/>
                <w:b/>
                <w:sz w:val="20"/>
              </w:rPr>
              <w:t>Datum</w:t>
            </w:r>
          </w:p>
        </w:tc>
        <w:tc>
          <w:tcPr>
            <w:tcW w:type="dxa" w:w="1814"/>
          </w:tcPr>
          <w:p>
            <w:r>
              <w:rPr>
                <w:rFonts w:ascii="Times New Roman" w:hAnsi="Times New Roman"/>
                <w:b/>
                <w:sz w:val="20"/>
              </w:rPr>
              <w:t>Betrag</w:t>
            </w:r>
          </w:p>
        </w:tc>
        <w:tc>
          <w:tcPr>
            <w:tcW w:type="dxa" w:w="1814"/>
          </w:tcPr>
          <w:p>
            <w:r>
              <w:rPr>
                <w:rFonts w:ascii="Times New Roman" w:hAnsi="Times New Roman"/>
                <w:b/>
                <w:sz w:val="20"/>
              </w:rPr>
              <w:t>Rechnung</w:t>
            </w:r>
          </w:p>
        </w:tc>
        <w:tc>
          <w:tcPr>
            <w:tcW w:type="dxa" w:w="1814"/>
          </w:tcPr>
          <w:p>
            <w:r>
              <w:rPr>
                <w:rFonts w:ascii="Times New Roman" w:hAnsi="Times New Roman"/>
                <w:b/>
                <w:sz w:val="20"/>
              </w:rPr>
              <w:t>Fälligkeit</w:t>
            </w:r>
          </w:p>
        </w:tc>
      </w:tr>
      <w:tr>
        <w:tc>
          <w:tcPr>
            <w:tcW w:type="dxa" w:w="1814"/>
          </w:tcPr>
          <w:p>
            <w:r>
              <w:rPr>
                <w:rFonts w:ascii="Times New Roman" w:hAnsi="Times New Roman"/>
                <w:sz w:val="20"/>
              </w:rPr>
              <w:t>1</w:t>
            </w:r>
          </w:p>
        </w:tc>
        <w:tc>
          <w:tcPr>
            <w:tcW w:type="dxa" w:w="1814"/>
          </w:tcPr>
          <w:p>
            <w:r>
              <w:rPr>
                <w:rFonts w:ascii="Times New Roman" w:hAnsi="Times New Roman"/>
                <w:sz w:val="20"/>
              </w:rPr>
              <w:t>01.12.2025</w:t>
            </w:r>
          </w:p>
        </w:tc>
        <w:tc>
          <w:tcPr>
            <w:tcW w:type="dxa" w:w="1814"/>
          </w:tcPr>
          <w:p>
            <w:r>
              <w:rPr>
                <w:rFonts w:ascii="Times New Roman" w:hAnsi="Times New Roman"/>
                <w:sz w:val="20"/>
              </w:rPr>
              <w:t>28.700,00 EUR</w:t>
            </w:r>
          </w:p>
        </w:tc>
        <w:tc>
          <w:tcPr>
            <w:tcW w:type="dxa" w:w="1814"/>
          </w:tcPr>
          <w:p>
            <w:r>
              <w:rPr>
                <w:rFonts w:ascii="Times New Roman" w:hAnsi="Times New Roman"/>
                <w:sz w:val="20"/>
              </w:rPr>
              <w:t>RE-2025-4411 vom 28.08.2025</w:t>
            </w:r>
          </w:p>
        </w:tc>
        <w:tc>
          <w:tcPr>
            <w:tcW w:type="dxa" w:w="1814"/>
          </w:tcPr>
          <w:p>
            <w:r>
              <w:rPr>
                <w:rFonts w:ascii="Times New Roman" w:hAnsi="Times New Roman"/>
                <w:sz w:val="20"/>
              </w:rPr>
              <w:t>27.09.2025</w:t>
            </w:r>
          </w:p>
        </w:tc>
      </w:tr>
      <w:tr>
        <w:tc>
          <w:tcPr>
            <w:tcW w:type="dxa" w:w="1814"/>
          </w:tcPr>
          <w:p>
            <w:r>
              <w:rPr>
                <w:rFonts w:ascii="Times New Roman" w:hAnsi="Times New Roman"/>
                <w:sz w:val="20"/>
              </w:rPr>
              <w:t>2</w:t>
            </w:r>
          </w:p>
        </w:tc>
        <w:tc>
          <w:tcPr>
            <w:tcW w:type="dxa" w:w="1814"/>
          </w:tcPr>
          <w:p>
            <w:r>
              <w:rPr>
                <w:rFonts w:ascii="Times New Roman" w:hAnsi="Times New Roman"/>
                <w:sz w:val="20"/>
              </w:rPr>
              <w:t>19.12.2025</w:t>
            </w:r>
          </w:p>
        </w:tc>
        <w:tc>
          <w:tcPr>
            <w:tcW w:type="dxa" w:w="1814"/>
          </w:tcPr>
          <w:p>
            <w:r>
              <w:rPr>
                <w:rFonts w:ascii="Times New Roman" w:hAnsi="Times New Roman"/>
                <w:sz w:val="20"/>
              </w:rPr>
              <w:t>31.200,00 EUR</w:t>
            </w:r>
          </w:p>
        </w:tc>
        <w:tc>
          <w:tcPr>
            <w:tcW w:type="dxa" w:w="1814"/>
          </w:tcPr>
          <w:p>
            <w:r>
              <w:rPr>
                <w:rFonts w:ascii="Times New Roman" w:hAnsi="Times New Roman"/>
                <w:sz w:val="20"/>
              </w:rPr>
              <w:t>RE-2025-4736 vom 30.09.2025</w:t>
            </w:r>
          </w:p>
        </w:tc>
        <w:tc>
          <w:tcPr>
            <w:tcW w:type="dxa" w:w="1814"/>
          </w:tcPr>
          <w:p>
            <w:r>
              <w:rPr>
                <w:rFonts w:ascii="Times New Roman" w:hAnsi="Times New Roman"/>
                <w:sz w:val="20"/>
              </w:rPr>
              <w:t>30.10.2025</w:t>
            </w:r>
          </w:p>
        </w:tc>
      </w:tr>
      <w:tr>
        <w:tc>
          <w:tcPr>
            <w:tcW w:type="dxa" w:w="1814"/>
          </w:tcPr>
          <w:p>
            <w:r>
              <w:rPr>
                <w:rFonts w:ascii="Times New Roman" w:hAnsi="Times New Roman"/>
                <w:sz w:val="20"/>
              </w:rPr>
              <w:t>3</w:t>
            </w:r>
          </w:p>
        </w:tc>
        <w:tc>
          <w:tcPr>
            <w:tcW w:type="dxa" w:w="1814"/>
          </w:tcPr>
          <w:p>
            <w:r>
              <w:rPr>
                <w:rFonts w:ascii="Times New Roman" w:hAnsi="Times New Roman"/>
                <w:sz w:val="20"/>
              </w:rPr>
              <w:t>09.01.2026</w:t>
            </w:r>
          </w:p>
        </w:tc>
        <w:tc>
          <w:tcPr>
            <w:tcW w:type="dxa" w:w="1814"/>
          </w:tcPr>
          <w:p>
            <w:r>
              <w:rPr>
                <w:rFonts w:ascii="Times New Roman" w:hAnsi="Times New Roman"/>
                <w:sz w:val="20"/>
              </w:rPr>
              <w:t>27.500,00 EUR</w:t>
            </w:r>
          </w:p>
        </w:tc>
        <w:tc>
          <w:tcPr>
            <w:tcW w:type="dxa" w:w="1814"/>
          </w:tcPr>
          <w:p>
            <w:r>
              <w:rPr>
                <w:rFonts w:ascii="Times New Roman" w:hAnsi="Times New Roman"/>
                <w:sz w:val="20"/>
              </w:rPr>
              <w:t>RE-2025-5102 vom 05.11.2025</w:t>
            </w:r>
          </w:p>
        </w:tc>
        <w:tc>
          <w:tcPr>
            <w:tcW w:type="dxa" w:w="1814"/>
          </w:tcPr>
          <w:p>
            <w:r>
              <w:rPr>
                <w:rFonts w:ascii="Times New Roman" w:hAnsi="Times New Roman"/>
                <w:sz w:val="20"/>
              </w:rPr>
              <w:t>05.12.2025</w:t>
            </w:r>
          </w:p>
        </w:tc>
      </w:tr>
    </w:tbl>
    <w:p>
      <w:pPr>
        <w:jc w:val="left"/>
      </w:pPr>
      <w:r>
        <w:t>Alle drei Zahlungen erfolgten innerhalb der letzten drei Monate vor dem Eröffnungsantrag (§ 130 Abs. 1 Satz 1 Nr. 1 InsO in Verbindung mit § 139 InsO; der Dreimonatszeitraum begann am 12.10.2025).</w:t>
      </w:r>
    </w:p>
    <w:p>
      <w:pPr>
        <w:jc w:val="left"/>
      </w:pPr>
      <w:r>
        <w:t>2 Zahlungsunfähigkeit der Schuldnerin</w:t>
      </w:r>
    </w:p>
    <w:p>
      <w:pPr>
        <w:jc w:val="left"/>
      </w:pPr>
      <w:r>
        <w:t>Die Schuldnerin war zur Zeit sämtlicher Zahlungen zahlungsunfähig. Die Zahlungsunfähigkeit trat spätestens mit Beginn des Dreimonatszeitraums am 12.10.2025 ein. Zu diesem Zeitpunkt bestanden fällige, bis zur Verfahrenseröffnung nicht mehr ausgeglichene Verbindlichkeiten in erheblichem Umfang, darunter Ihre eigene, seit dem 27.09.2025 fällige Rechnung RE-2025-4411, Umsatzsteuerrückstände seit August 2025 sowie Sozialversicherungsbeiträge seit September 2025. Zum Beleg füge ich die betriebswirtschaftlichen Auswertungen der Schuldnerin für das Jahr 2025 sowie die Offene-Posten-Liste zum Stand 30.11.2025 bei, aus denen sich die durchgehende und wachsende Deckungslücke ergibt.</w:t>
      </w:r>
    </w:p>
    <w:p>
      <w:pPr>
        <w:jc w:val="left"/>
      </w:pPr>
      <w:r>
        <w:t>3 Ihre Kenntnis von der Zahlungsunfähigkeit</w:t>
      </w:r>
    </w:p>
    <w:p>
      <w:pPr>
        <w:jc w:val="left"/>
      </w:pPr>
      <w:r>
        <w:t>Ihnen war die Zahlungsunfähigkeit der Schuldnerin bekannt, jedenfalls kannten Sie Umstände, die zwingend auf sie schließen lassen (§ 130 Abs. 2 InsO). Ich stütze mich insbesondere auf folgende, Ihrem Hause bekannte Tatsachen: Ihre Lastschriften vom 06.10.2025 und vom 20.10.2025 über die Rechnung RE-2025-4411 wurden jeweils mangels Deckung zurückgegeben. Sie haben die Schuldnerin dreistufig gemahnt, zuletzt mit Schreiben vom 24.11.2025 unter Androhung eines sofortigen Lieferstopps. Der Geschäftsführer der Schuldnerin hat Ihnen mit E-Mail vom 26.11.2025 mitgeteilt, dass die Schuldnerin „derzeit nur zahlen kann, wenn Sie liefern". Mit Schreiben vom 02.12.2025 hat die Schuldnerin um Ratenzahlung für die verbleibenden Rechnungen gebeten und dies mit einem „kurzfristigen Liquiditätsengpass" begründet, der bereits „seit dem Spätsommer" andauere. Wer als langjähriger Hauptlieferant zwei Lastschriftrückgaben, einen ausgeschöpften Mahnlauf, eine ausdrückliche Offenbarung der Zahlungsschwäche und eine Ratenzahlungsbitte erlebt, kennt Umstände, die bei zutreffender rechtlicher Bewertung keinen anderen Schluss zulassen als den auf die Zahlungsunfähigkeit.</w:t>
      </w:r>
    </w:p>
    <w:p>
      <w:pPr>
        <w:jc w:val="left"/>
      </w:pPr>
      <w:r>
        <w:t>4 Rechtsfolge und Frist</w:t>
      </w:r>
    </w:p>
    <w:p>
      <w:pPr>
        <w:jc w:val="left"/>
      </w:pPr>
      <w:r>
        <w:t>Nach § 143 Abs. 1 InsO haben Sie 87.400,00 EUR zuzüglich Zinsen ab Verfahrenseröffnung zur Insolvenzmasse zurückzugewähren. Ich fordere Sie auf, den Betrag bis zum</w:t>
      </w:r>
    </w:p>
    <w:p>
      <w:pPr>
        <w:jc w:val="left"/>
      </w:pPr>
      <w:r>
        <w:rPr>
          <w:b/>
        </w:rPr>
        <w:t>30.06.2026</w:t>
      </w:r>
    </w:p>
    <w:p>
      <w:pPr>
        <w:jc w:val="left"/>
      </w:pPr>
      <w:r>
        <w:t>auf das Insolvenz-Sonderkonto IBAN DE12 4805 0161 0044 8812 90 unter Angabe des Zeichens 44/26 FS zu zahlen. Zur Vermeidung gerichtlicher Schritte bin ich bereit, über eine ratierliche Rückführung zu sprechen; auf die angemeldete Forderung Ihres Hauses über die nach § 144 InsO wiederauflebende Forderung weise ich hin.</w:t>
      </w:r>
    </w:p>
    <w:p>
      <w:pPr>
        <w:jc w:val="left"/>
      </w:pPr>
      <w:r>
        <w:t>Mit freundlichen Grüßen</w:t>
      </w:r>
    </w:p>
    <w:p>
      <w:pPr>
        <w:jc w:val="left"/>
      </w:pPr>
      <w:r>
        <w:t>Dr. Friederike Sanftleben</w:t>
      </w:r>
    </w:p>
    <w:p>
      <w:pPr>
        <w:jc w:val="left"/>
      </w:pPr>
      <w:r>
        <w:t>Rechtsanwältin, Insolvenzverwalterin</w:t>
      </w:r>
    </w:p>
    <w:p>
      <w:pPr>
        <w:jc w:val="left"/>
      </w:pPr>
      <w:r>
        <w:t>Anlagen: Eröffnungsbeschluss vom 01.04.2026 (beglaubigte Abschrift); BWA-Reihe Januar bis Dezember 2025 (Tabelle); OPOS-Liste der Schuldnerin, Stand 30.11.2025 (Tabelle)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