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Erwiderung auf das Anfechtungsschreiben</w:t>
      </w:r>
    </w:p>
    <w:p>
      <w:pPr>
        <w:jc w:val="left"/>
      </w:pPr>
      <w:r>
        <w:rPr>
          <w:b/>
        </w:rPr>
        <w:t>Broscheit &amp; Weyland Rechtsanwälte</w:t>
      </w:r>
      <w:r>
        <w:t xml:space="preserve"> · Friedrichstraße 24 · 42551 Velbert · Telefon 02051 9822-0</w:t>
      </w:r>
    </w:p>
    <w:p>
      <w:pPr>
        <w:jc w:val="left"/>
      </w:pPr>
      <w:r>
        <w:t>Unser Zeichen: 311/26 YB · Rechtsanwalt Dr. Yannick Broscheit</w:t>
      </w:r>
    </w:p>
    <w:p>
      <w:pPr>
        <w:jc w:val="left"/>
      </w:pPr>
      <w:r>
        <w:t>Velbert, den 17.06.2026</w:t>
      </w:r>
    </w:p>
    <w:p>
      <w:pPr>
        <w:jc w:val="left"/>
      </w:pPr>
      <w:r>
        <w:t>Frau Rechtsanwältin</w:t>
      </w:r>
    </w:p>
    <w:p>
      <w:pPr>
        <w:jc w:val="left"/>
      </w:pPr>
      <w:r>
        <w:t>Dr. Friederike Sanftleben</w:t>
      </w:r>
    </w:p>
    <w:p>
      <w:pPr>
        <w:jc w:val="left"/>
      </w:pPr>
      <w:r>
        <w:t>— als Insolvenzverwalterin über das Vermögen der Teutoburger Möbelwerk GmbH —</w:t>
      </w:r>
    </w:p>
    <w:p>
      <w:pPr>
        <w:jc w:val="left"/>
      </w:pPr>
      <w:r>
        <w:t>Am Bach 4</w:t>
      </w:r>
    </w:p>
    <w:p>
      <w:pPr>
        <w:jc w:val="left"/>
      </w:pPr>
      <w:r>
        <w:t>33602 Bielefeld</w:t>
      </w:r>
    </w:p>
    <w:p>
      <w:pPr>
        <w:jc w:val="left"/>
      </w:pPr>
      <w:r>
        <w:rPr>
          <w:b/>
        </w:rPr>
        <w:t>Betreff: Insolvenzverfahren Teutoburger Möbelwerk GmbH (Amtsgericht Bielefeld, 43 IN 12/26) — Ihr Anfechtungsschreiben vom 11.05.2026, Ihr Zeichen 44/26 FS</w:t>
      </w:r>
    </w:p>
    <w:p>
      <w:pPr>
        <w:jc w:val="left"/>
      </w:pPr>
      <w:r>
        <w:t>Sehr geehrte Frau Kollegin Dr. Sanftleben,</w:t>
      </w:r>
    </w:p>
    <w:p>
      <w:pPr>
        <w:jc w:val="left"/>
      </w:pPr>
      <w:r>
        <w:t>wir zeigen die Vertretung der HebeFix Beschlagtechnik GmbH an; ordnungsgemäße Bevollmächtigung wird anwaltlich versichert. Den geltend gemachten Rückgewähranspruch über 87.400,00 EUR weisen wir zurück.</w:t>
      </w:r>
    </w:p>
    <w:p>
      <w:pPr>
        <w:jc w:val="left"/>
      </w:pPr>
      <w:r>
        <w:t>1 Zur Kongruenz und zum Prüfungsmaßstab</w:t>
      </w:r>
    </w:p>
    <w:p>
      <w:pPr>
        <w:jc w:val="left"/>
      </w:pPr>
      <w:r>
        <w:t>Die drei Zahlungen betrafen unstreitig fällige Kaufpreisforderungen und wurden in geschuldeter Weise durch Überweisung erbracht. Anfechtbar wären sie nach § 130 Abs. 1 Satz 1 Nr. 1 InsO daher nur, wenn unsere Mandantin zur Zeit der jeweiligen Zahlung die Zahlungsunfähigkeit der Schuldnerin positiv kannte oder Umstände kannte, die zwingend auf die Zahlungsunfähigkeit schließen lassen (§ 130 Abs. 2 InsO). Der Maßstab des Gesetzes ist eng: Es genügt nicht, dass sich einem Gläubiger Zweifel an der Liquidität aufdrängen konnten; die bekannten Umstände müssen bei zutreffender rechtlicher Bewertung nur den einen Schluss zulassen, dass der Schuldner wesentliche Teile seiner fälligen Verbindlichkeiten nicht erfüllen kann. Daran fehlt es.</w:t>
      </w:r>
    </w:p>
    <w:p>
      <w:pPr>
        <w:jc w:val="left"/>
      </w:pPr>
      <w:r>
        <w:t>2 Kein zwingender Schluss aus den bekannten Umständen</w:t>
      </w:r>
    </w:p>
    <w:p>
      <w:pPr>
        <w:jc w:val="left"/>
      </w:pPr>
      <w:r>
        <w:t>2.1 Unsere Mandantin kannte ausschließlich die eigene Kundenbeziehung. Einblick in die Bücher der Schuldnerin, in Rückstände gegenüber dem Finanzamt, der Einzugsstelle oder Dritten hatte sie nicht. Die von Ihnen übersandte BWA-Reihe und die OPOS-Liste sind ihr erst durch Ihr Schreiben bekannt geworden; für die Kenntnisfrage kommt es allein auf den Horizont zur Zeit der Zahlungen an.</w:t>
      </w:r>
    </w:p>
    <w:p>
      <w:pPr>
        <w:jc w:val="left"/>
      </w:pPr>
      <w:r>
        <w:t>2.2 Aus dem eigenen Kundenkonto ergab sich das Bild einer angespannten, aber beherrschten Lage: Die Schuldnerin hat im selben Zeitraum, in dem die drei angefochtenen Zahlungen erfolgten, zwei weitere Rechnungen (RE-2025-4890 und RE-2025-5288) jeweils vor Fälligkeit bezahlt. Ein Schuldner, der einzelne Rechnungen vorfristig begleicht, ist nach dem Empfängerhorizont gerade nicht erkennbar zahlungsunfähig, sondern setzt Prioritäten in einem Liquiditätsengpass, wie ihn die Ratenzahlungsbitte vom 02.12.2025 offen und plausibel beschrieben hat.</w:t>
      </w:r>
    </w:p>
    <w:p>
      <w:pPr>
        <w:jc w:val="left"/>
      </w:pPr>
      <w:r>
        <w:t>2.3 Die Ratenzahlungsbitte selbst trägt den zwingenden Schluss nicht. Sie benannte konkrete, nachprüfbare und von dritter Seite bestätigte Gründe (Forderungsausfall durch die Insolvenz der Wohnkontor Lippstadt GmbH; Vorfinanzierung des Auftrags der Arkadia Hotels) sowie eine konkrete, vertraglich unterlegte Quelle der Rückführung (Abschlagszahlung von 380.000,00 EUR Mitte Januar 2026). Über den Großauftrag hatte das Westfälische Wirtschaftsblatt am 21.11.2025 berichtet; die bei unserer Mandantin eingehenden Bestellungen passten zu dessen Volumen. Die Bitte um Ratenzahlung, die ein Schuldner mit einer belastbaren Ertragsperspektive begründet, ist Ausdruck einer Zahlungsstockung, nicht einer Zahlungseinstellung. Tatsächlich wurde der Ratenplan sogar übererfüllt: Die Rechnung RE-2025-4736 wurde am 19.12.2025 in einem Betrag statt in zwei Raten ausgeglichen.</w:t>
      </w:r>
    </w:p>
    <w:p>
      <w:pPr>
        <w:jc w:val="left"/>
      </w:pPr>
      <w:r>
        <w:t>2.4 Auch der Mahnlauf und die beiden Lastschriftrückgaben vom Oktober 2025 ändern daran nichts. Mahnungen bis zur dritten Stufe und einzelne Rückgaben mangels Deckung sind im Geschäftsverkehr mit mittelständischen Kunden nicht selten und besagen für sich genommen nur, dass eine einzelne Forderung nicht bedient wurde. Nach den Rückgaben wurden sämtliche Rückstände einschließlich der Entgelte vollständig ausgeglichen — die vollständige Rückführung aller offenen Forderungen binnen sechs Wochen ist das Gegenteil einer erkannten Zahlungsunfähigkeit.</w:t>
      </w:r>
    </w:p>
    <w:p>
      <w:pPr>
        <w:jc w:val="left"/>
      </w:pPr>
      <w:r>
        <w:t>2.5 Die E-Mail des Geschäftsführers vom 26.11.2025 schließlich ist im Kontext der Verhandlungssituation zu lesen: Ihr Aussagegehalt erschöpft sich darin, dass die Fortführung des Hotelauftrags die Zahlungsfähigkeit gegenüber unserer Mandantin sicherte. Das ist die Beschreibung einer Abhängigkeit der Zahlungen von künftigen Erträgen, wie sie für die Auftragsfertigung typisch ist, und keine Erklärung, fällige Verbindlichkeiten im Allgemeinen nicht mehr bedienen zu können.</w:t>
      </w:r>
    </w:p>
    <w:p>
      <w:pPr>
        <w:jc w:val="left"/>
      </w:pPr>
      <w:r>
        <w:t>3 Zur behaupteten Zahlungsunfähigkeit der Schuldnerin</w:t>
      </w:r>
    </w:p>
    <w:p>
      <w:pPr>
        <w:jc w:val="left"/>
      </w:pPr>
      <w:r>
        <w:t>Lediglich vorsorglich weisen wir darauf hin, dass Ihr eigener Vortrag zum Eintritt der Zahlungsunfähigkeit („spätestens am 12.10.2025") mit den von Ihnen übersandten Anlagen nicht in Einklang steht: Die BWA-Reihe weist bereits ab Februar 2025 eine Unterdeckung von mehr als zehn Prozent aus, die OPOS-Liste enthält seit Ende 2024 offene und ernsthaft eingeforderte Verbindlichkeiten. Entweder war die Schuldnerin danach schon Anfang 2025 zahlungsunfähig — dann stellt sich die Frage, weshalb ihr Geschäftsführer den Geschäftsbetrieb ein Jahr lang fortgeführt hat und worauf sich Ihre Datierung stützt —, oder die Unterlagen tragen den Schluss auf Zahlungsunfähigkeit insgesamt nicht, weil sie stichtagsbezogene Liquiditätszuflüsse nicht abbilden. Diese Widersprüche gehen zu Ihren Lasten; die Darlegungs- und Beweislast für die objektive Zahlungsunfähigkeit zur Zeit jeder einzelnen Zahlung liegt bei Ihnen.</w:t>
      </w:r>
    </w:p>
    <w:p>
      <w:pPr>
        <w:jc w:val="left"/>
      </w:pPr>
      <w:r>
        <w:t>4 Ergebnis</w:t>
      </w:r>
    </w:p>
    <w:p>
      <w:pPr>
        <w:jc w:val="left"/>
      </w:pPr>
      <w:r>
        <w:t>Unsere Mandantin wird die geforderte Zahlung nicht leisten. Angesichts des beiderseitigen Prozessrisikos bei der Kenntnisfrage regen wir gleichwohl ein Gespräch über eine vergleichsweise Erledigung an; eine Quote von mehr als einem Viertel der Anfechtungssumme wird unsere Mandantin dabei allerdings nicht darstellen können.</w:t>
      </w:r>
    </w:p>
    <w:p>
      <w:pPr>
        <w:jc w:val="left"/>
      </w:pPr>
      <w:r>
        <w:t>Mit freundlichen kollegialen Grüßen</w:t>
      </w:r>
    </w:p>
    <w:p>
      <w:pPr>
        <w:jc w:val="left"/>
      </w:pPr>
      <w:r>
        <w:t>Dr. Yannick Broscheit</w:t>
      </w:r>
    </w:p>
    <w:p>
      <w:pPr>
        <w:jc w:val="left"/>
      </w:pPr>
      <w:r>
        <w:t>Rechtsanwalt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