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Engagement-Vermerk Intensivbetreuung</w:t>
      </w:r>
    </w:p>
    <w:p>
      <w:pPr>
        <w:jc w:val="left"/>
      </w:pPr>
      <w:r>
        <w:rPr>
          <w:b/>
        </w:rPr>
        <w:t>Sparkasse Weinbergland Mainz</w:t>
      </w:r>
      <w:r>
        <w:t xml:space="preserve"> · Marktfolge Kredit · Abteilung Intensivbetreuung · Kaiserstraße 41 · 55116 Mainz</w:t>
      </w:r>
    </w:p>
    <w:p>
      <w:pPr>
        <w:jc w:val="left"/>
      </w:pPr>
      <w:r>
        <w:t>Engagement: Domblick Weinkellerei-Betriebs-GmbH · Kredit-Nr. 4711-220315 · Rating-Note zum 30. September 2025: 15 (Ausfallgefährdung erhöht)</w:t>
      </w:r>
    </w:p>
    <w:p>
      <w:pPr>
        <w:jc w:val="left"/>
      </w:pPr>
      <w:r>
        <w:t>Mainz, 24. November 2025</w:t>
      </w:r>
    </w:p>
    <w:p>
      <w:pPr>
        <w:jc w:val="left"/>
      </w:pPr>
      <w:r>
        <w:t>Verfasserin: Sandra Vietinghoff, Intensivbetreuung · Mitzeichnung: Jörg Tremmel, Firmenkundenbetreuung · Vorlage an: Bereichsleitung Marktfolge</w:t>
      </w:r>
    </w:p>
    <w:p>
      <w:pPr>
        <w:pStyle w:val="Heading2"/>
      </w:pPr>
      <w:r>
        <w:rPr>
          <w:rFonts w:ascii="Times New Roman" w:hAnsi="Times New Roman"/>
        </w:rPr>
        <w:t>1 Anlass</w:t>
      </w:r>
    </w:p>
    <w:p>
      <w:pPr>
        <w:jc w:val="left"/>
      </w:pPr>
      <w:r>
        <w:t>Das Engagement wurde zum 1. Oktober 2025 von der Normalbetreuung in die Intensivbetreuung übergeleitet. Anlass waren die anhaltend vollständige Ausnutzung der Kontokorrentlinie von 480.000,00 EUR seit dem Frühjahr 2025, die im Konto sichtbare Häufung von Rücklastschriften, zwei Scheckrückgaben sowie die im September und November 2025 eingegangenen Kontopfändungen des Finanzamts Mainz-Altstadt und der Einzugsstelle Handelskrankenkasse Mitte.</w:t>
      </w:r>
    </w:p>
    <w:p>
      <w:pPr>
        <w:pStyle w:val="Heading2"/>
      </w:pPr>
      <w:r>
        <w:rPr>
          <w:rFonts w:ascii="Times New Roman" w:hAnsi="Times New Roman"/>
        </w:rPr>
        <w:t>2 Lagebeurteilung</w:t>
      </w:r>
    </w:p>
    <w:p>
      <w:pPr>
        <w:jc w:val="left"/>
      </w:pPr>
      <w:r>
        <w:t>2.1 Die Kontodaten zeigen seit April 2025 eine Inanspruchnahme der Linie von durchgehend über 95 Prozent an mehr als der Hälfte der Buchungstage. Rückführungen erfolgen ausschließlich aus laufenden Zahlungseingängen und werden regelmäßig binnen weniger Tage wieder aufgezehrt. Die Rücklastschriften betreffen wiederholt Sozialversicherungsbeiträge und Lieferantenlastschriften; die Rückgabegründe lauten jeweils auf fehlende Deckung.</w:t>
      </w:r>
    </w:p>
    <w:p>
      <w:pPr>
        <w:jc w:val="left"/>
      </w:pPr>
      <w:r>
        <w:t>2.2 Die von der Kundin vorgelegten betriebswirtschaftlichen Auswertungen weisen seit Februar 2025 negative Betriebsergebnisse aus. Die vom Geschäftsführer angekündigte Kapitalzuführung aus dem Gesellschafterkreis ist bislang nicht erfolgt. Ein tragfähiges Sanierungskonzept liegt nicht vor.</w:t>
      </w:r>
    </w:p>
    <w:p>
      <w:pPr>
        <w:jc w:val="left"/>
      </w:pPr>
      <w:r>
        <w:t>2.3 Die Sicherheitenlage ist unzureichend. Die nachrangige Grundschuld über 250.000,00 EUR ist angesichts der Vorlast von 900.000,00 EUR und des zuletzt mit 1.050.000,00 EUR bewerteten Objekts nur in geringem Umfang werthaltig; im Verwertungsfall ist mit einem Erlösanteil von höchstens 100.000,00 EUR bis 130.000,00 EUR zu rechnen. Eine Zession des Warenlagers oder der Forderungen besteht nicht.</w:t>
      </w:r>
    </w:p>
    <w:p>
      <w:pPr>
        <w:pStyle w:val="Heading2"/>
      </w:pPr>
      <w:r>
        <w:rPr>
          <w:rFonts w:ascii="Times New Roman" w:hAnsi="Times New Roman"/>
        </w:rPr>
        <w:t>3 Strategie</w:t>
      </w:r>
    </w:p>
    <w:p>
      <w:pPr>
        <w:jc w:val="left"/>
      </w:pPr>
      <w:r>
        <w:t>3.1 Eine Kündigung des Engagements wird derzeit nicht empfohlen. Sie würde den sofortigen Zusammenbruch der Kundin auslösen, die Blankoteile des Engagements in voller Höhe realisieren und die Sparkasse in der Region angreifbar machen.</w:t>
      </w:r>
    </w:p>
    <w:p>
      <w:pPr>
        <w:jc w:val="left"/>
      </w:pPr>
      <w:r>
        <w:t>3.2 Empfohlen wird stattdessen eine gesteuerte Exit-Strategie über eine schrittweise Rückführung der Linie im Einvernehmen mit der Kundin: Herabsetzung der Linie in drei Stufen auf zunächst 360.000,00 EUR, sodann 240.000,00 EUR und 120.000,00 EUR jeweils im Abstand von rund sechs Wochen. Die laufenden Zahlungseingänge sind konsequent zur Saldenreduzierung zu vereinnahmen. Verfügungen sind nur noch zuzulassen, soweit sie zur Aufrechterhaltung des für die Eingänge notwendigen Geschäftsbetriebs unerlässlich sind (Löhne, Energie); sonstige Überweisungsaufträge sind zurückzugeben.</w:t>
      </w:r>
    </w:p>
    <w:p>
      <w:pPr>
        <w:jc w:val="left"/>
      </w:pPr>
      <w:r>
        <w:t>3.3 Ziel ist die Reduzierung des Blankoanteils auf einen durch die Grundschuld gedeckten Sockel von rund 120.000,00 EUR vor einem etwaigen Insolvenzereignis. Die Kundin ist auf die freiwillige Mitwirkung anzusprechen; als Verhandlungsrahmen ist die Alternative einer fristlosen Kündigung nach Nr. 26 AGB-Sparkassen darzustellen.</w:t>
      </w:r>
    </w:p>
    <w:p>
      <w:pPr>
        <w:pStyle w:val="Heading2"/>
      </w:pPr>
      <w:r>
        <w:rPr>
          <w:rFonts w:ascii="Times New Roman" w:hAnsi="Times New Roman"/>
        </w:rPr>
        <w:t>4 Beschlussvorschlag</w:t>
      </w:r>
    </w:p>
    <w:p>
      <w:pPr>
        <w:jc w:val="left"/>
      </w:pPr>
      <w:r>
        <w:t>Die Bereichsleitung wird gebeten, die vorstehende Strategie zu genehmigen und die Firmenkundenbetreuung zu ermächtigen, die erste Anpassungsvereinbarung kurzfristig mit der Kundin abzuschließen. Wiedervorlage nach jeder Anpassungsstufe, spätestens am 15. Januar 2026.</w:t>
      </w:r>
    </w:p>
    <w:p>
      <w:pPr>
        <w:jc w:val="left"/>
      </w:pPr>
      <w:r>
        <w:t>gez. Vietinghoff — gez. Tremmel</w:t>
      </w:r>
    </w:p>
    <w:p>
      <w:pPr>
        <w:jc w:val="left"/>
      </w:pPr>
      <w:r>
        <w:t>Genehmigt: Mainz, 27. November 2025, gez. Dr. Herwarth, Bereichsleitung Marktfolge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