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Anpassungsvereinbarung Nr. 1 zum Kontokorrentkreditvertrag vom 15. März 2022</w:t>
      </w:r>
    </w:p>
    <w:p>
      <w:pPr>
        <w:jc w:val="left"/>
      </w:pPr>
      <w:r>
        <w:rPr>
          <w:b/>
        </w:rPr>
        <w:t>Sparkasse Weinbergland Mainz</w:t>
      </w:r>
      <w:r>
        <w:t xml:space="preserve"> · Kaiserstraße 41 · 55116 Mainz · Kredit-Nr. 4711-220315</w:t>
      </w:r>
    </w:p>
    <w:p>
      <w:pPr>
        <w:jc w:val="left"/>
      </w:pPr>
      <w:r>
        <w:t>zwischen der Sparkasse Weinbergland Mainz — nachfolgend „Sparkasse" — und der Domblick Weinkellerei-Betriebs-GmbH, Laubenheimer Höhe 12, 55131 Mainz, vertreten durch den Geschäftsführer Bernhard Sattlmaier — nachfolgend „Kreditnehmerin" —</w:t>
      </w:r>
    </w:p>
    <w:p>
      <w:pPr>
        <w:pStyle w:val="Heading2"/>
      </w:pPr>
      <w:r>
        <w:rPr>
          <w:rFonts w:ascii="Times New Roman" w:hAnsi="Times New Roman"/>
        </w:rPr>
        <w:t>1 Anlass</w:t>
      </w:r>
    </w:p>
    <w:p>
      <w:pPr>
        <w:jc w:val="left"/>
      </w:pPr>
      <w:r>
        <w:t>Die Parteien haben die wirtschaftliche Entwicklung der Kreditnehmerin und die Entwicklung des Kontos IBAN DE44 5555 0100 0004 7110 22 gemeinsam erörtert. Sie sind übereingekommen, das Kreditengagement einvernehmlich an die veränderten Verhältnisse anzupassen, um eine Kündigung des Engagements zu vermeiden.</w:t>
      </w:r>
    </w:p>
    <w:p>
      <w:pPr>
        <w:pStyle w:val="Heading2"/>
      </w:pPr>
      <w:r>
        <w:rPr>
          <w:rFonts w:ascii="Times New Roman" w:hAnsi="Times New Roman"/>
        </w:rPr>
        <w:t>2 Herabsetzung der Kreditlinie</w:t>
      </w:r>
    </w:p>
    <w:p>
      <w:pPr>
        <w:jc w:val="left"/>
      </w:pPr>
      <w:r>
        <w:t>Die mit Vertrag vom 15. März 2022 eingeräumte Kontokorrentlinie von 480.000,00 EUR wird mit Wirkung ab dem 5. Dezember 2025 einvernehmlich auf 360.000,00 EUR herabgesetzt. Soweit der Sollsaldo die herabgesetzte Linie im Zeitpunkt des Wirksamwerdens übersteigt, gilt der übersteigende Betrag als geduldete Überziehung, die aus den laufenden Zahlungseingängen zurückzuführen ist.</w:t>
      </w:r>
    </w:p>
    <w:p>
      <w:pPr>
        <w:pStyle w:val="Heading2"/>
      </w:pPr>
      <w:r>
        <w:rPr>
          <w:rFonts w:ascii="Times New Roman" w:hAnsi="Times New Roman"/>
        </w:rPr>
        <w:t>3 Rückführung aus Zahlungseingängen</w:t>
      </w:r>
    </w:p>
    <w:p>
      <w:pPr>
        <w:jc w:val="left"/>
      </w:pPr>
      <w:r>
        <w:t>Die Kreditnehmerin verpflichtet sich, sämtliche Zahlungseingänge aus ihrem Geschäftsbetrieb ausschließlich über das vorgenannte Konto zu leiten. Die Zahlungseingänge werden mit dem Sollsaldo verrechnet und dienen vorrangig der Rückführung der Überziehung. Die Sparkasse ist berechtigt, Verfügungen der Kreditnehmerin abzulehnen, soweit dadurch die vereinbarte Rückführung gefährdet würde; hiervon ausgenommen sind Verfügungen, die zur Aufrechterhaltung des Geschäftsbetriebs zwingend erforderlich sind und von der Sparkasse im Einzelfall freigegeben werden.</w:t>
      </w:r>
    </w:p>
    <w:p>
      <w:pPr>
        <w:pStyle w:val="Heading2"/>
      </w:pPr>
      <w:r>
        <w:rPr>
          <w:rFonts w:ascii="Times New Roman" w:hAnsi="Times New Roman"/>
        </w:rPr>
        <w:t>4 Fortgeltung im Übrigen</w:t>
      </w:r>
    </w:p>
    <w:p>
      <w:pPr>
        <w:jc w:val="left"/>
      </w:pPr>
      <w:r>
        <w:t>Alle übrigen Bestimmungen des Kontokorrentkreditvertrags vom 15. März 2022 einschließlich der bestellten Sicherheiten bleiben unverändert. Die Rechte der Sparkasse aus Nr. 26 ihrer Allgemeinen Geschäftsbedingungen, insbesondere das Recht zur fristlosen Kündigung aus wichtigem Grund, bleiben unberührt.</w:t>
      </w:r>
    </w:p>
    <w:p>
      <w:pPr>
        <w:pStyle w:val="Heading2"/>
      </w:pPr>
      <w:r>
        <w:rPr>
          <w:rFonts w:ascii="Times New Roman" w:hAnsi="Times New Roman"/>
        </w:rPr>
        <w:t>5 Überprüfung</w:t>
      </w:r>
    </w:p>
    <w:p>
      <w:pPr>
        <w:jc w:val="left"/>
      </w:pPr>
      <w:r>
        <w:t>Die Parteien werden die Entwicklung des Engagements spätestens Mitte Januar 2026 erneut gemeinsam bewerten und über weitere Anpassungen entscheiden.</w:t>
      </w:r>
    </w:p>
    <w:p>
      <w:pPr>
        <w:jc w:val="left"/>
      </w:pPr>
      <w:r>
        <w:t>Mainz, den 5. Dezember 2025</w:t>
      </w:r>
    </w:p>
    <w:p>
      <w:pPr>
        <w:jc w:val="left"/>
      </w:pPr>
      <w:r>
        <w:t>Sparkasse Weinbergland Mainz — gez. Jörg Tremmel, gez. ppa. Claudia Roggenkamp</w:t>
      </w:r>
    </w:p>
    <w:p>
      <w:pPr>
        <w:jc w:val="left"/>
      </w:pPr>
      <w:r>
        <w:t>Domblick Weinkellerei-Betriebs-GmbH — gez. Bernhard Sattlmaier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