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Pfändungs- und Überweisungsbeschluss</w:t>
      </w:r>
    </w:p>
    <w:p>
      <w:pPr>
        <w:jc w:val="left"/>
      </w:pPr>
      <w:r>
        <w:rPr>
          <w:b/>
        </w:rPr>
        <w:t>Amtsgericht Mainz</w:t>
      </w:r>
      <w:r>
        <w:t xml:space="preserve"> — Vollstreckungsgericht — Ernst-Ludwig-Straße 7 · 55116 Mainz</w:t>
      </w:r>
    </w:p>
    <w:p>
      <w:pPr>
        <w:jc w:val="left"/>
      </w:pPr>
      <w:r>
        <w:t>Geschäftsnummer: 34 M 4457/25</w:t>
      </w:r>
    </w:p>
    <w:p>
      <w:pPr>
        <w:jc w:val="left"/>
      </w:pPr>
      <w:r>
        <w:t>Mainz, den 19. Januar 2026</w:t>
      </w:r>
    </w:p>
    <w:p>
      <w:pPr>
        <w:jc w:val="left"/>
      </w:pPr>
      <w:r>
        <w:t>In der Zwangsvollstreckungssache</w:t>
      </w:r>
    </w:p>
    <w:p>
      <w:pPr>
        <w:jc w:val="left"/>
      </w:pPr>
      <w:r>
        <w:t>der Glashandel Rheinglas Bodenheim GmbH, Am Kapellenberg 4, 55294 Bodenheim, vertreten durch die Geschäftsführerin Petra Silbereis — Gläubigerin — Verfahrensbevollmächtigte: Rechtsanwältin Meike Dorloff, Rheinallee 89, 55118 Mainz</w:t>
      </w:r>
    </w:p>
    <w:p>
      <w:pPr>
        <w:jc w:val="left"/>
      </w:pPr>
      <w:r>
        <w:t>gegen</w:t>
      </w:r>
    </w:p>
    <w:p>
      <w:pPr>
        <w:jc w:val="left"/>
      </w:pPr>
      <w:r>
        <w:t>die Domblick Weinkellerei-Betriebs-GmbH, Laubenheimer Höhe 12, 55131 Mainz, vertreten durch den Geschäftsführer Bernhard Sattlmaier — Schuldnerin —</w:t>
      </w:r>
    </w:p>
    <w:p>
      <w:pPr>
        <w:jc w:val="left"/>
      </w:pPr>
      <w:r>
        <w:t>wegen einer Forderung aus dem vorläufig vollstreckbaren Versäumnisurteil des Landgerichts Mainz vom 4. November 2025, Aktenzeichen 4 O 212/25, ergeht folgender Beschluss:</w:t>
      </w:r>
    </w:p>
    <w:p>
      <w:pPr>
        <w:pStyle w:val="Heading2"/>
      </w:pPr>
      <w:r>
        <w:rPr>
          <w:rFonts w:ascii="Times New Roman" w:hAnsi="Times New Roman"/>
        </w:rPr>
        <w:t>1 Forderung</w:t>
      </w:r>
    </w:p>
    <w:p>
      <w:pPr>
        <w:jc w:val="left"/>
      </w:pPr>
      <w:r>
        <w:t>Wegen der Hauptforderung von 43.911,50 EUR nebst Zinsen in Höhe von 2.418,62 EUR, festgesetzter Kosten von 2.400,00 EUR sowie der Kosten dieses Verfahrens werden insgesamt 48.730,12 EUR zuzüglich weiter laufender Zinsen vollstreckt.</w:t>
      </w:r>
    </w:p>
    <w:p>
      <w:pPr>
        <w:pStyle w:val="Heading2"/>
      </w:pPr>
      <w:r>
        <w:rPr>
          <w:rFonts w:ascii="Times New Roman" w:hAnsi="Times New Roman"/>
        </w:rPr>
        <w:t>2 Pfändung</w:t>
      </w:r>
    </w:p>
    <w:p>
      <w:pPr>
        <w:jc w:val="left"/>
      </w:pPr>
      <w:r>
        <w:t>Wegen der in Ziffer 1 bezeichneten Ansprüche werden die angeblichen Ansprüche der Schuldnerin gegen die Sparkasse Weinbergland Mainz, Anstalt des öffentlichen Rechts, Kaiserstraße 41, 55116 Mainz — Drittschuldnerin — aus der bestehenden Geschäftsverbindung, insbesondere die gegenwärtigen und künftigen Ansprüche auf Auszahlung von Guthaben und Tagesguthaben aus dem Konto IBAN DE44 5555 0100 0004 7110 22 einschließlich der Ansprüche auf Auszahlung künftiger Gutschriften sowie die Ansprüche auf Kreditgewährung aus einer eingeräumten und in Anspruch genommenen Kontokorrentlinie, soweit diese Ansprüche pfändbar sind, gepfändet.</w:t>
      </w:r>
    </w:p>
    <w:p>
      <w:pPr>
        <w:pStyle w:val="Heading2"/>
      </w:pPr>
      <w:r>
        <w:rPr>
          <w:rFonts w:ascii="Times New Roman" w:hAnsi="Times New Roman"/>
        </w:rPr>
        <w:t>3 Verbote</w:t>
      </w:r>
    </w:p>
    <w:p>
      <w:pPr>
        <w:jc w:val="left"/>
      </w:pPr>
      <w:r>
        <w:t>Der Drittschuldnerin wird verboten, an die Schuldnerin zu zahlen. Der Schuldnerin wird verboten, über die gepfändeten Ansprüche zu verfügen, insbesondere sie einzuziehen.</w:t>
      </w:r>
    </w:p>
    <w:p>
      <w:pPr>
        <w:pStyle w:val="Heading2"/>
      </w:pPr>
      <w:r>
        <w:rPr>
          <w:rFonts w:ascii="Times New Roman" w:hAnsi="Times New Roman"/>
        </w:rPr>
        <w:t>4 Überweisung</w:t>
      </w:r>
    </w:p>
    <w:p>
      <w:pPr>
        <w:jc w:val="left"/>
      </w:pPr>
      <w:r>
        <w:t>Die gepfändeten Ansprüche werden der Gläubigerin zur Einziehung überwiesen.</w:t>
      </w:r>
    </w:p>
    <w:p>
      <w:pPr>
        <w:pStyle w:val="Heading2"/>
      </w:pPr>
      <w:r>
        <w:rPr>
          <w:rFonts w:ascii="Times New Roman" w:hAnsi="Times New Roman"/>
        </w:rPr>
        <w:t>5 Hinweise an die Drittschuldnerin</w:t>
      </w:r>
    </w:p>
    <w:p>
      <w:pPr>
        <w:jc w:val="left"/>
      </w:pPr>
      <w:r>
        <w:t>Die Drittschuldnerin wird aufgefordert, binnen zwei Wochen ab Zustellung die Erklärungen nach § 840 Abs. 1 der Zivilprozessordnung abzugeben. Die Zustellung dieses Beschlusses an die Drittschuldnerin bewirkt die Beschlagnahme der gepfändeten Ansprüche.</w:t>
      </w:r>
    </w:p>
    <w:p>
      <w:pPr>
        <w:jc w:val="left"/>
      </w:pPr>
      <w:r>
        <w:t>gez. Reinbacher, Rechtspflegerin</w:t>
      </w:r>
    </w:p>
    <w:p>
      <w:pPr>
        <w:jc w:val="left"/>
      </w:pPr>
      <w:r>
        <w:t>Zustellungsvermerk: Ausfertigung der Drittschuldnerin zugestellt am 26. Januar 2026 (Zustellungsurkunde Bl. 14 d. A.); Ausfertigung der Schuldnerin zugestellt am 29. Januar 2026.</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