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auf das Anfechtungsschreiben vom 12. Mai 2026</w:t>
      </w:r>
    </w:p>
    <w:p>
      <w:pPr>
        <w:jc w:val="left"/>
      </w:pPr>
      <w:r>
        <w:rPr>
          <w:b/>
        </w:rPr>
        <w:t>Rechtsanwälte Dr. Cammann &amp; Weyrich Partnerschaft mbB</w:t>
      </w:r>
      <w:r>
        <w:t xml:space="preserve"> · Wilhelmstraße 18 · 65183 Wiesbaden · Telefon 0611 98212-0</w:t>
      </w:r>
    </w:p>
    <w:p>
      <w:pPr>
        <w:jc w:val="left"/>
      </w:pPr>
      <w:r>
        <w:t>Unser Zeichen: 226/26 CW08 · Ihr Zeichen: 041/26 IB</w:t>
      </w:r>
    </w:p>
    <w:p>
      <w:pPr>
        <w:jc w:val="left"/>
      </w:pPr>
      <w:r>
        <w:t>Wiesbaden, den 5. Juni 2026</w:t>
      </w:r>
    </w:p>
    <w:p>
      <w:pPr>
        <w:jc w:val="left"/>
      </w:pPr>
      <w:r>
        <w:t>An Frau Rechtsanwältin Dr. Ilka Bernstorf — Insolvenzverwalterin über das Vermögen der Domblick Weinkellerei-Betriebs-GmbH — Große Bleiche 27, 55116 Mainz</w:t>
      </w:r>
    </w:p>
    <w:p>
      <w:pPr>
        <w:jc w:val="left"/>
      </w:pPr>
      <w:r>
        <w:t>Betreff: Insolvenzverfahren Domblick Weinkellerei-Betriebs-GmbH, AG Mainz 273 IN 45/26 — Ihre Anfechtung vom 12. Mai 2026</w:t>
      </w:r>
    </w:p>
    <w:p>
      <w:pPr>
        <w:jc w:val="left"/>
      </w:pPr>
      <w:r>
        <w:t>Sehr geehrte Frau Kollegin Dr. Bernstorf,</w:t>
      </w:r>
    </w:p>
    <w:p>
      <w:pPr>
        <w:jc w:val="left"/>
      </w:pPr>
      <w:r>
        <w:t>wir zeigen an, dass uns die Sparkasse Weinbergland Mainz mit der Wahrnehmung ihrer Interessen beauftragt hat. Ordnungsgemäße Bevollmächtigung wird anwaltlich versichert. Namens und in Vollmacht unserer Mandantin weisen wir die geltend gemachten Ansprüche zurück. Eine Zahlung wird nicht erfolgen.</w:t>
      </w:r>
    </w:p>
    <w:p>
      <w:pPr>
        <w:pStyle w:val="Heading2"/>
      </w:pPr>
      <w:r>
        <w:rPr>
          <w:rFonts w:ascii="Times New Roman" w:hAnsi="Times New Roman"/>
        </w:rPr>
        <w:t>1 Keine anfechtbare Rückführung, sondern gelebtes Kontokorrent</w:t>
      </w:r>
    </w:p>
    <w:p>
      <w:pPr>
        <w:jc w:val="left"/>
      </w:pPr>
      <w:r>
        <w:t>1.1 Die von Ihnen als „Rückführung" bezeichnete Saldenentwicklung ist das Ergebnis des vertragsgemäß fortgeführten Kontokorrentverkehrs. Unsere Mandantin hat die Geschäftsverbindung gerade nicht gekündigt, sondern den Zahlungsverkehr der Schuldnerin bis zur Antragstellung aufrechterhalten und damit die Betriebsfortführung über Monate erst ermöglicht. Im Anfechtungszeitraum wurden Verfügungen von 116.100,00 EUR zugelassen, darunter sämtliche Lohnzahlungen für November und Dezember 2025 sowie der weit überwiegende Teil der Januarlöhne und die laufenden Energiekosten.</w:t>
      </w:r>
    </w:p>
    <w:p>
      <w:pPr>
        <w:jc w:val="left"/>
      </w:pPr>
      <w:r>
        <w:t>1.2 Eine Gläubigerbenachteiligung in Höhe von 360.000,00 EUR liegt nicht vor. Bei fortlaufender Verrechnung im Kontokorrent ist allenfalls die Differenz zwischen vereinnahmten Eingängen und wieder zugelassenen Verfügungen als Verrechnungsgewinn anfechtungsrechtlich relevant; dabei sind diejenigen Eingänge abzuziehen, die auf Leistungen beruhen, welche die Schuldnerin erst mit den von unserer Mandantin freigegebenen Mitteln erwirtschaftet hat. Ohne die Freigabe der Löhne und Energiekosten wäre der Kellereibetrieb zum Erliegen gekommen und die von Ihnen vereinnahmte Berechnungsgrundlage gar nicht entstanden. Der Sache nach liegt damit ein Leistungsaustausch vor, der einem Bargeschäft nach § 142 Abs. 1 InsO jedenfalls wertungsmäßig gleichsteht.</w:t>
      </w:r>
    </w:p>
    <w:p>
      <w:pPr>
        <w:pStyle w:val="Heading2"/>
      </w:pPr>
      <w:r>
        <w:rPr>
          <w:rFonts w:ascii="Times New Roman" w:hAnsi="Times New Roman"/>
        </w:rPr>
        <w:t>2 Kongruenz der Verrechnungen</w:t>
      </w:r>
    </w:p>
    <w:p>
      <w:pPr>
        <w:jc w:val="left"/>
      </w:pPr>
      <w:r>
        <w:t>2.1 Die Verrechnungen waren kongruent. Das Pfandrecht und die Verrechnungsbefugnis aus Nr. 21 der AGB unserer Mandantin sowie § 355 HGB bestanden seit dem Vertragsschluss im März 2022 und damit lange vor der Krise. Ein Kreditinstitut, das Eingänge im Kontokorrent verrechnet, tut nur das, was Kontokorrentabrede und AGB ihm seit jeher gestatten; es erhält die Deckung folglich „in der Art", in der sie ihm zusteht.</w:t>
      </w:r>
    </w:p>
    <w:p>
      <w:pPr>
        <w:jc w:val="left"/>
      </w:pPr>
      <w:r>
        <w:t>2.2 Die drei Anpassungsvereinbarungen ändern daran nichts. Sie wurden von der Schuldnerin freiwillig und in beiderseitigem Interesse geschlossen, um die andernfalls gebotene fristlose Kündigung nach Nr. 26 AGB-Sparkassen zu vermeiden. Eine rechtlich zulässige Alternative — die Kündigung — als Verhandlungsposition zu benennen, ist kein anfechtungsrechtlich relevanter Zwang. Hätte unsere Mandantin gekündigt, wäre der gesamte Saldo sofort fällig geworden; die gewählte Lösung war für die Schuldnerin das mildere Mittel. Der Vermerk der Intensivbetreuung vom 24. November 2025, den wir zur vollständigen Information beifügen, belegt gerade die konstruktive Begleitung der Kundin und die banküblich sorgfältige Engagementsteuerung.</w:t>
      </w:r>
    </w:p>
    <w:p>
      <w:pPr>
        <w:pStyle w:val="Heading2"/>
      </w:pPr>
      <w:r>
        <w:rPr>
          <w:rFonts w:ascii="Times New Roman" w:hAnsi="Times New Roman"/>
        </w:rPr>
        <w:t>3 Keine Kenntnis der Zahlungsunfähigkeit</w:t>
      </w:r>
    </w:p>
    <w:p>
      <w:pPr>
        <w:jc w:val="left"/>
      </w:pPr>
      <w:r>
        <w:t>3.1 Rücklastschriften und eine hohe Linienausnutzung sind im Weinhandel mit seiner ausgeprägten Saisonalität kein zwingendes Indiz für eine Zahlungsunfähigkeit, sondern zunächst nur für eine angespannte, saisontypische Liquiditätslage. Die Eingänge des Weihnachtsgeschäfts 2025 haben die vereinbarten Rückführungsziele planmäßig erfüllt; gerade dies durfte unsere Mandantin als Beleg für die wiedergewonnene Zahlungsfähigkeit werten. Eine Zahlungseinstellung hat die Schuldnerin gegenüber unserer Mandantin zu keinem Zeitpunkt erklärt.</w:t>
      </w:r>
    </w:p>
    <w:p>
      <w:pPr>
        <w:jc w:val="left"/>
      </w:pPr>
      <w:r>
        <w:t>3.2 Die beiden Kontopfändungen aus September und November 2025 wurden nach Kenntnis unserer Mandantin jeweils kurzfristig erledigt. Der Vermerk vom 24. November 2025 dokumentiert eine Risikovorsorge, nicht die positive Kenntnis einer eingetretenen Zahlungsunfähigkeit; ein Rating der Stufe „Ausfallgefährdung erhöht" ist eine Prognose, kein Wissen.</w:t>
      </w:r>
    </w:p>
    <w:p>
      <w:pPr>
        <w:jc w:val="left"/>
      </w:pPr>
      <w:r>
        <w:t>3.3 Für die von Ihnen behauptete Zahlungsunfähigkeit bereits ab April 2025 fehlt jeder Beleg aus dem Wahrnehmungshorizont unserer Mandantin. Die betriebswirtschaftlichen Auswertungen, auf die Sie sich stützen, lagen unserer Mandantin im Anfechtungszeitraum nur bis zum Auswertungsmonat September 2025 vor. Der Eigenantrag der Schuldnerin datiert den Eintritt der Zahlungsunfähigkeit selbst erst auf Mitte Januar 2026; an dieser Einschätzung des Geschäftsführers müssen Sie sich festhalten lassen.</w:t>
      </w:r>
    </w:p>
    <w:p>
      <w:pPr>
        <w:pStyle w:val="Heading2"/>
      </w:pPr>
      <w:r>
        <w:rPr>
          <w:rFonts w:ascii="Times New Roman" w:hAnsi="Times New Roman"/>
        </w:rPr>
        <w:t>4 Verrechnung nach Zustellung der Kontopfändung</w:t>
      </w:r>
    </w:p>
    <w:p>
      <w:pPr>
        <w:jc w:val="left"/>
      </w:pPr>
      <w:r>
        <w:t>Die Verrechnung der nach dem 26. Januar 2026 eingegangenen Gutschriften verstieß nicht gegen den Pfändungs- und Überweisungsbeschluss. Das AGB-Pfandrecht unserer Mandantin ist vor der Pfändung entstanden und geht ihr im Rang vor; gepfändet war zudem nur ein etwaiges Guthaben, das zu keinem Zeitpunkt bestand, da das Konto durchgehend debitorisch geführt wurde.</w:t>
      </w:r>
    </w:p>
    <w:p>
      <w:pPr>
        <w:pStyle w:val="Heading2"/>
      </w:pPr>
      <w:r>
        <w:rPr>
          <w:rFonts w:ascii="Times New Roman" w:hAnsi="Times New Roman"/>
        </w:rPr>
        <w:t>5 Ergebnis</w:t>
      </w:r>
    </w:p>
    <w:p>
      <w:pPr>
        <w:jc w:val="left"/>
      </w:pPr>
      <w:r>
        <w:t>Die Anfechtung ist unbegründet. Unsere Mandantin ist gleichwohl bereit, die Angelegenheit in einem persönlichen Gespräch zu erörtern, weist aber darauf hin, dass sie sich gegen eine Klage mit allen prozessualen Mitteln verteidigen wird. Etwaige Vergleichsgespräche führen wir ohne Anerkennung einer Rechtspflicht.</w:t>
      </w:r>
    </w:p>
    <w:p>
      <w:pPr>
        <w:jc w:val="left"/>
      </w:pPr>
      <w:r>
        <w:t>Mit freundlichen kollegialen Grüßen</w:t>
      </w:r>
    </w:p>
    <w:p>
      <w:pPr>
        <w:jc w:val="left"/>
      </w:pPr>
      <w:r>
        <w:t>Dr. Bettina Cammann</w:t>
      </w:r>
    </w:p>
    <w:p>
      <w:pPr>
        <w:jc w:val="left"/>
      </w:pPr>
      <w:r>
        <w:t>Rechtsanwältin</w:t>
      </w:r>
    </w:p>
    <w:p>
      <w:pPr>
        <w:jc w:val="left"/>
      </w:pPr>
      <w:r>
        <w:t>Anlage: Engagement-Vermerk der Abteilung Intensivbetreuung vom 24. November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