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Anfechtungsschreiben des Insolvenzverwalters an die Bank</w:t>
      </w:r>
    </w:p>
    <w:p>
      <w:pPr>
        <w:jc w:val="left"/>
      </w:pPr>
      <w:r>
        <w:rPr>
          <w:b/>
        </w:rPr>
        <w:t>Wehmeyer Insolvenzverwaltung</w:t>
      </w:r>
    </w:p>
    <w:p>
      <w:pPr>
        <w:jc w:val="left"/>
      </w:pPr>
      <w:r>
        <w:t>Rechtsanwalt Dr. Konstantin Wehmeyer</w:t>
      </w:r>
    </w:p>
    <w:p>
      <w:pPr>
        <w:jc w:val="left"/>
      </w:pPr>
      <w:r>
        <w:t>Kaiserstraße 34, 44135 Dortmund</w:t>
      </w:r>
    </w:p>
    <w:p>
      <w:pPr>
        <w:jc w:val="left"/>
      </w:pPr>
      <w:r>
        <w:t>Telefon 0231 47790-0 · kanzlei@wehmeyer-insolvenz.de</w:t>
      </w:r>
    </w:p>
    <w:p>
      <w:pPr>
        <w:jc w:val="left"/>
      </w:pPr>
      <w:r>
        <w:t>Unser Zeichen: 87/26 KW</w:t>
      </w:r>
    </w:p>
    <w:p>
      <w:pPr>
        <w:jc w:val="left"/>
      </w:pPr>
      <w:r>
        <w:t>Insolvenzverfahren: Ruhrland Getränkegroßhandel GmbH, AG Dortmund, 251 IN 74/26</w:t>
      </w:r>
    </w:p>
    <w:p>
      <w:pPr>
        <w:jc w:val="left"/>
      </w:pPr>
      <w:r>
        <w:t>Dortmund, den 12. Juni 2026</w:t>
      </w:r>
    </w:p>
    <w:p>
      <w:pPr>
        <w:jc w:val="left"/>
      </w:pPr>
      <w:r>
        <w:rPr>
          <w:b/>
        </w:rPr>
        <w:t>Einschreiben mit Rückschein, vorab per beA</w:t>
      </w:r>
    </w:p>
    <w:p>
      <w:pPr>
        <w:jc w:val="left"/>
      </w:pPr>
      <w:r>
        <w:t>**Volksbank Emscher-Hellweg eG</w:t>
      </w:r>
    </w:p>
    <w:p>
      <w:pPr>
        <w:jc w:val="left"/>
      </w:pPr>
      <w:r>
        <w:t>– Vorstand –</w:t>
      </w:r>
    </w:p>
    <w:p>
      <w:pPr>
        <w:jc w:val="left"/>
      </w:pPr>
      <w:r>
        <w:t>Westenhellweg 71–73</w:t>
      </w:r>
    </w:p>
    <w:p>
      <w:pPr>
        <w:jc w:val="left"/>
      </w:pPr>
      <w:r>
        <w:t>44137 Dortmund**</w:t>
      </w:r>
    </w:p>
    <w:p>
      <w:pPr>
        <w:jc w:val="left"/>
      </w:pPr>
      <w:r>
        <w:rPr>
          <w:b/>
        </w:rPr>
        <w:t>Betreff: Insolvenzverfahren über das Vermögen der Ruhrland Getränkegroßhandel GmbH – Anfechtung der Verrechnungen im Kontokorrent im Zeitraum 15. Januar bis 15. April 2026 (§§ 129, 130, 131, 143 InsO); Zahlungsaufforderung</w:t>
      </w:r>
    </w:p>
    <w:p>
      <w:pPr>
        <w:jc w:val="left"/>
      </w:pPr>
      <w:r>
        <w:t>Sehr geehrte Damen und Herren,</w:t>
      </w:r>
    </w:p>
    <w:p>
      <w:pPr>
        <w:jc w:val="left"/>
      </w:pPr>
      <w:r>
        <w:t xml:space="preserve">mit Beschluss des Amtsgerichts Dortmund vom 1. Juni 2026 (251 IN 74/26) bin ich zum Insolvenzverwalter über das Vermögen der Ruhrland Getränkegroßhandel GmbH bestellt worden. In dieser Eigenschaft erkläre ich die </w:t>
      </w:r>
      <w:r>
        <w:rPr>
          <w:b/>
        </w:rPr>
        <w:t>Anfechtung</w:t>
      </w:r>
      <w:r>
        <w:t xml:space="preserve"> der im letzten Dreimonatszeitraum vor dem Eröffnungsantrag auf dem Konto IBAN DE63 4416 0014 3308 2145 00 vorgenommenen Verrechnungen von Zahlungseingängen mit dem Sollsaldo.</w:t>
      </w:r>
    </w:p>
    <w:p>
      <w:pPr>
        <w:pStyle w:val="Heading2"/>
      </w:pPr>
      <w:r>
        <w:rPr>
          <w:rFonts w:ascii="Times New Roman" w:hAnsi="Times New Roman"/>
        </w:rPr>
        <w:t>1 Sachverhalt</w:t>
      </w:r>
    </w:p>
    <w:p>
      <w:pPr>
        <w:jc w:val="left"/>
      </w:pPr>
      <w:r>
        <w:t xml:space="preserve">Der Eröffnungsantrag der Schuldnerin ist am 15. April 2026 bei Gericht eingegangen; der Dreimonatszeitraum der §§ 130, 131 InsO umfasst damit die Zeit ab dem 15. Januar 2026. Das Geschäftskonto der Schuldnerin bei Ihrem Haus war in diesem gesamten Zeitraum debitorisch. Die vereinbarte Kontokorrentlinie betrug 250.000 EUR; tatsächlich duldete Ihr Haus darüber hinausgehende Inanspruchnahmen bis knapp 310.000 EUR, ohne dass hierauf ein Anspruch bestand (Ziffer 2 des Kreditvertrags vom 30. Juni 2021). Im Zeitraum vom 15. Januar bis zum 15. April 2026 sind Zahlungseingänge von insgesamt </w:t>
      </w:r>
      <w:r>
        <w:rPr>
          <w:b/>
        </w:rPr>
        <w:t>412.000,00 EUR</w:t>
      </w:r>
      <w:r>
        <w:t xml:space="preserve"> über das Konto geleitet und mit dem Sollsaldo verrechnet worden. Der Saldenverlauf ergibt sich aus der beigefügten Tagessaldenliste (Anlage 1): Anfangssaldo am 14. Januar 2026 −298.750,00 EUR; höchster Sollsaldo am 5. Februar 2026 </w:t>
      </w:r>
      <w:r>
        <w:rPr>
          <w:b/>
        </w:rPr>
        <w:t>−309.900,00 EUR</w:t>
      </w:r>
      <w:r>
        <w:t xml:space="preserve">; Endsaldo am 15. April 2026 </w:t>
      </w:r>
      <w:r>
        <w:rPr>
          <w:b/>
        </w:rPr>
        <w:t>−226.300,00 EUR</w:t>
      </w:r>
      <w:r>
        <w:t>.</w:t>
      </w:r>
    </w:p>
    <w:p>
      <w:pPr>
        <w:pStyle w:val="Heading2"/>
      </w:pPr>
      <w:r>
        <w:rPr>
          <w:rFonts w:ascii="Times New Roman" w:hAnsi="Times New Roman"/>
        </w:rPr>
        <w:t>2 Anfechtbarkeit der Verrechnungen</w:t>
      </w:r>
    </w:p>
    <w:p>
      <w:pPr>
        <w:pStyle w:val="Heading3"/>
      </w:pPr>
      <w:r>
        <w:rPr>
          <w:rFonts w:ascii="Times New Roman" w:hAnsi="Times New Roman"/>
        </w:rPr>
        <w:t>2.1 Umfang der anfechtbaren Rückführung (Saldodifferenzbetrachtung)</w:t>
      </w:r>
    </w:p>
    <w:p>
      <w:pPr>
        <w:jc w:val="left"/>
      </w:pPr>
      <w:r>
        <w:t xml:space="preserve">Anfechtbar ist nicht jede einzelne Gutschrift, sondern die durch das Zusammenspiel von Eingängen und zugelassenen Ausgängen bewirkte </w:t>
      </w:r>
      <w:r>
        <w:rPr>
          <w:b/>
        </w:rPr>
        <w:t>Rückführung des Sollsaldos</w:t>
      </w:r>
      <w:r>
        <w:t xml:space="preserve">. Maßgeblich ist die Differenz zwischen dem höchsten Sollsaldo im anfechtungsrelevanten Zeitraum und dem Saldo bei dessen Ende: Von dem Höchststand von 309.900,00 EUR (5. Februar 2026) wurde das Obligo bis zum 15. April 2026 auf 226.300,00 EUR zurückgeführt. Ihr Haus hat damit eine Deckung in Höhe von </w:t>
      </w:r>
      <w:r>
        <w:rPr>
          <w:b/>
        </w:rPr>
        <w:t>83.600,00 EUR</w:t>
      </w:r>
      <w:r>
        <w:t xml:space="preserve"> erlangt. Ich weise bereits jetzt darauf hin, dass der niedrigste Tagessaldo des Zeitraums 221.480,00 EUR betrug (8. April 2026); soweit Ihr Haus danach wieder Verfügungen zugelassen hat, bleibt eine Erweiterung der Anfechtung auf die Differenz von insgesamt 88.420,00 EUR vorbehalten.</w:t>
      </w:r>
    </w:p>
    <w:p>
      <w:pPr>
        <w:pStyle w:val="Heading3"/>
      </w:pPr>
      <w:r>
        <w:rPr>
          <w:rFonts w:ascii="Times New Roman" w:hAnsi="Times New Roman"/>
        </w:rPr>
        <w:t>2.2 Inkongruente Deckung: Rückführung der geduldeten Überziehung (§ 131 Abs. 1 Nr. 1 und Nr. 2 InsO)</w:t>
      </w:r>
    </w:p>
    <w:p>
      <w:pPr>
        <w:jc w:val="left"/>
      </w:pPr>
      <w:r>
        <w:t xml:space="preserve">Soweit die Verrechnungen den Sollsaldo von 309.900,00 EUR bis auf die Kreditlinie von 250.000,00 EUR zurückgeführt haben — das betrifft einen Teilbetrag von </w:t>
      </w:r>
      <w:r>
        <w:rPr>
          <w:b/>
        </w:rPr>
        <w:t>59.900,00 EUR</w:t>
      </w:r>
      <w:r>
        <w:t xml:space="preserve"> —, hatte Ihr Haus auf diese Befriedigung </w:t>
      </w:r>
      <w:r>
        <w:rPr>
          <w:b/>
        </w:rPr>
        <w:t>keinen Anspruch in dieser Zeit</w:t>
      </w:r>
      <w:r>
        <w:t xml:space="preserve">: Die Duldung der Überziehung erfolgte nach Ihrem eigenen Schreiben vom 5. März 2026 nur widerruflich und wochenweise; ein Rückzahlungsanspruch war zwar jederzeit begründbar, eine Befriedigung gerade durch Verrechnung der laufenden Eingänge in der kritischen Zeit war aber nicht in dieser Art zu beanspruchen. Die Rückführung der bloß geduldeten Überziehung ist damit inkongruent; auf Ihre Kenntnis von der Zahlungsunfähigkeit kommt es insoweit </w:t>
      </w:r>
      <w:r>
        <w:rPr>
          <w:b/>
        </w:rPr>
        <w:t>nicht an</w:t>
      </w:r>
      <w:r>
        <w:t xml:space="preserve"> (§ 131 Abs. 1 Nr. 1 InsO für die ab dem 15. März 2026 bewirkten Rückführungen, § 131 Abs. 1 Nr. 2 InsO im Übrigen, da die Schuldnerin — wie unter Ziffer 3 dargelegt — jedenfalls seit Beginn des Dreimonatszeitraums zahlungsunfähig war).</w:t>
      </w:r>
    </w:p>
    <w:p>
      <w:pPr>
        <w:pStyle w:val="Heading3"/>
      </w:pPr>
      <w:r>
        <w:rPr>
          <w:rFonts w:ascii="Times New Roman" w:hAnsi="Times New Roman"/>
        </w:rPr>
        <w:t>2.3 Kongruente Deckung innerhalb der Linie (§ 130 Abs. 1 Satz 1 Nr. 1 InsO)</w:t>
      </w:r>
    </w:p>
    <w:p>
      <w:pPr>
        <w:jc w:val="left"/>
      </w:pPr>
      <w:r>
        <w:t xml:space="preserve">Soweit die Verrechnungen den Sollsaldo unterhalb der Linie von 250.000,00 EUR weiter auf 226.300,00 EUR zurückgeführt haben — Teilbetrag </w:t>
      </w:r>
      <w:r>
        <w:rPr>
          <w:b/>
        </w:rPr>
        <w:t>23.700,00 EUR</w:t>
      </w:r>
      <w:r>
        <w:t xml:space="preserve"> —, waren sie von der Kontokorrentabrede gedeckt und damit kongruent. Sie sind gleichwohl anfechtbar, weil die Schuldnerin zahlungsunfähig war und Ihr Haus dies wusste, jedenfalls Umstände kannte, die zwingend auf die Zahlungsunfähigkeit schließen ließen (§ 130 Abs. 2 InsO). Zur Kenntnis Ihres Hauses verweise ich auf: den Engagementvermerk vom 10. Dezember 2025 (Rating-Herabstufung auf 13, Kontoampel Rot, "nachhaltige Liquiditätskrise... seit dem Frühjahr 2025", Kenntnis der Rückstände bei AOK Nordwest und Finanzamt aus der OPOS-Liste); das Gespräch vom 28. Januar 2026 (Strategie "Reduzieren", Einzelfreigaben, Weisung, die Eingänge zur Rückführung stehen zu lassen); die von Ihrem Haus mangels Deckung nicht ausgeführten Überweisungen von Januar bis März 2026 (Anlage 2), darunter Zahlungen an das Finanzamt und die AOK; die E-Mail Ihres Firmenkundenbetreuers vom 9. Februar 2026 sowie Ihr Sicherheitenverstärkungsverlangen vom 5. März 2026.</w:t>
      </w:r>
    </w:p>
    <w:p>
      <w:pPr>
        <w:pStyle w:val="Heading2"/>
      </w:pPr>
      <w:r>
        <w:rPr>
          <w:rFonts w:ascii="Times New Roman" w:hAnsi="Times New Roman"/>
        </w:rPr>
        <w:t>3 Zahlungsunfähigkeit der Schuldnerin</w:t>
      </w:r>
    </w:p>
    <w:p>
      <w:pPr>
        <w:jc w:val="left"/>
      </w:pPr>
      <w:r>
        <w:t xml:space="preserve">Die Schuldnerin war </w:t>
      </w:r>
      <w:r>
        <w:rPr>
          <w:b/>
        </w:rPr>
        <w:t>jedenfalls seit dem 15. Januar 2026</w:t>
      </w:r>
      <w:r>
        <w:t xml:space="preserve"> zahlungsunfähig. Bereits zum 31. Dezember 2025 standen fälligen Verbindlichkeiten von 1.278.000 EUR verfügbare Mittel von nur 741.000 EUR gegenüber (Unterdeckung 42 Prozent); zum 31. Januar 2026 betrug die Unterdeckung 46,4 Prozent und zum 31. März 2026 56,95 Prozent (Anlage 3, Liquiditätsstatus). Rückstände gegenüber Sozialversicherungsträgern und Finanzamt bestanden seit Monaten und wurden nur ratenweise bedient. Für die Zwecke dieses Schreibens lege ich den Eintritt der Zahlungsunfähigkeit vorsichtig auf den Beginn des Dreimonatszeitraums; auf die Frage, ob sie schon früher eingetreten ist, kommt es für die vorliegende Anfechtung nicht an.</w:t>
      </w:r>
    </w:p>
    <w:p>
      <w:pPr>
        <w:pStyle w:val="Heading2"/>
      </w:pPr>
      <w:r>
        <w:rPr>
          <w:rFonts w:ascii="Times New Roman" w:hAnsi="Times New Roman"/>
        </w:rPr>
        <w:t>4 Bargeschäftseinwand</w:t>
      </w:r>
    </w:p>
    <w:p>
      <w:pPr>
        <w:jc w:val="left"/>
      </w:pPr>
      <w:r>
        <w:t xml:space="preserve">Einem etwaigen Einwand des Bargeschäfts (§ 142 InsO) sehe ich gelassen entgegen: Die Verrechnung von Zahlungseingängen auf einem debitorischen Konto ist keine Leistung gegen gleichwertige Gegenleistung, soweit den Eingängen keine </w:t>
      </w:r>
      <w:r>
        <w:rPr>
          <w:b/>
        </w:rPr>
        <w:t>neuen</w:t>
      </w:r>
      <w:r>
        <w:t xml:space="preserve"> Verfügungsmöglichkeiten in engem zeitlichem und sachlichem Zusammenhang gegenüberstehen. Nach der Tagessaldenliste überstiegen die Eingänge die zugelassenen Ausgänge im Zeitraum um 72.450,00 EUR; mindestens in Höhe der dauerhaften Saldoreduzierung fehlt es an einer ausgleichenden Gegenleistung Ihres Hauses. Die Einzelfreigabepraxis ab Ende Januar 2026 zeigt zudem, dass Ihr Haus die Auszahlungen gerade nicht mehr im Austausch Zug um Zug, sondern selektiv zur Risikosteuerung zugelassen hat.</w:t>
      </w:r>
    </w:p>
    <w:p>
      <w:pPr>
        <w:pStyle w:val="Heading2"/>
      </w:pPr>
      <w:r>
        <w:rPr>
          <w:rFonts w:ascii="Times New Roman" w:hAnsi="Times New Roman"/>
        </w:rPr>
        <w:t>5 Zahlungsaufforderung (§ 143 Abs. 1 InsO)</w:t>
      </w:r>
    </w:p>
    <w:p>
      <w:pPr>
        <w:jc w:val="left"/>
      </w:pPr>
      <w:r>
        <w:t xml:space="preserve">Ich fordere Sie auf, </w:t>
      </w:r>
      <w:r>
        <w:rPr>
          <w:b/>
        </w:rPr>
        <w:t>bis zum 6. Juli 2026</w:t>
      </w:r>
      <w:r>
        <w:t xml:space="preserve"> einen Betrag von </w:t>
      </w:r>
      <w:r>
        <w:rPr>
          <w:b/>
        </w:rPr>
        <w:t>83.600,00 EUR</w:t>
      </w:r>
      <w:r>
        <w:t xml:space="preserve"> nebst Zinsen in Höhe von fünf Prozentpunkten über dem Basiszinssatz seit dem 1. Juni 2026 auf das Insolvenz-Anderkonto IBAN DE89 4405 0199 0221 4467 03 (Verwendungszweck: 87/26 Ruhrland) zu zahlen. Nach fruchtlosem Fristablauf werde ich Klage vor dem Landgericht Dortmund erheben. Die Prüfung weiterer Anfechtungsansprüche — insbesondere hinsichtlich der Verrechnungen vor dem 15. Januar 2026 und der Sicherheitenbestellungen — dauert an und bleibt ausdrücklich vorbehalten.</w:t>
      </w:r>
    </w:p>
    <w:p>
      <w:pPr>
        <w:jc w:val="left"/>
      </w:pPr>
      <w:r>
        <w:t>Mit freundlichen Grüßen</w:t>
      </w:r>
    </w:p>
    <w:p>
      <w:pPr>
        <w:jc w:val="left"/>
      </w:pPr>
      <w:r>
        <w:t>Dr. Konstantin Wehmeyer</w:t>
      </w:r>
    </w:p>
    <w:p>
      <w:pPr>
        <w:jc w:val="left"/>
      </w:pPr>
      <w:r>
        <w:t>Rechtsanwalt, als Insolvenzverwalter über das Vermögen der Ruhrland Getränkegroßhandel GmbH</w:t>
      </w:r>
    </w:p>
    <w:p>
      <w:pPr>
        <w:jc w:val="left"/>
      </w:pPr>
      <w:r>
        <w:t>Anlagen: 1 Tagessaldenliste 15.01.–15.04.2026 · 2 Aufstellung nicht ausgeführter Überweisungen · 3 Liquiditätsstatus zu den Monatsstichtagen 2025/2026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