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Interner Vermerk: Durchsicht der Buchhaltung auf Zuwendungen an nahestehende Personen</w:t>
      </w:r>
    </w:p>
    <w:p>
      <w:pPr>
        <w:jc w:val="left"/>
      </w:pPr>
      <w:r>
        <w:rPr>
          <w:b/>
        </w:rPr>
        <w:t>Feddersen &amp; Osterloh Rechtsanwälte</w:t>
      </w:r>
    </w:p>
    <w:p>
      <w:pPr>
        <w:jc w:val="left"/>
      </w:pPr>
      <w:r>
        <w:t>Theaterwall 8, 26122 Oldenburg</w:t>
      </w:r>
    </w:p>
    <w:p>
      <w:pPr>
        <w:jc w:val="left"/>
      </w:pPr>
      <w:r>
        <w:t>Az.: 224/26 JF – Hollmann Bau- und Sanierungs GmbH (AG Oldenburg, 60 IN 87/26)</w:t>
      </w:r>
    </w:p>
    <w:p>
      <w:pPr>
        <w:jc w:val="left"/>
      </w:pPr>
      <w:r>
        <w:t>Verfasser: RA Dr. Jasper Feddersen / Ass. iur. Merle Steenken</w:t>
      </w:r>
    </w:p>
    <w:p>
      <w:pPr>
        <w:jc w:val="left"/>
      </w:pPr>
      <w:r>
        <w:t>Datum: 28. Mai 2026</w:t>
      </w:r>
    </w:p>
    <w:p>
      <w:pPr>
        <w:pStyle w:val="Heading2"/>
      </w:pPr>
      <w:r>
        <w:rPr>
          <w:rFonts w:ascii="Times New Roman" w:hAnsi="Times New Roman"/>
        </w:rPr>
        <w:t>1 Anlass</w:t>
      </w:r>
    </w:p>
    <w:p>
      <w:pPr>
        <w:jc w:val="left"/>
      </w:pPr>
      <w:r>
        <w:t>Bei der Durchsicht der Finanzbuchhaltung (DATEV-Bestand 2022 bis 2026) und der Belegordner sind Zahlungen und Vermögensverschiebungen an Familienangehörige des Geschäftsführers und Alleingesellschafters Bernd Hollmann aufgefallen. Dieser Vermerk fasst den Befund zusammen und benennt die noch offenen Punkte.</w:t>
      </w:r>
    </w:p>
    <w:p>
      <w:pPr>
        <w:pStyle w:val="Heading2"/>
      </w:pPr>
      <w:r>
        <w:rPr>
          <w:rFonts w:ascii="Times New Roman" w:hAnsi="Times New Roman"/>
        </w:rPr>
        <w:t>2 Befund</w:t>
      </w:r>
    </w:p>
    <w:p>
      <w:pPr>
        <w:pStyle w:val="Heading3"/>
      </w:pPr>
      <w:r>
        <w:rPr>
          <w:rFonts w:ascii="Times New Roman" w:hAnsi="Times New Roman"/>
        </w:rPr>
        <w:t>2.1 Überweisungen an die Tochter Lena Hollmann</w:t>
      </w:r>
    </w:p>
    <w:p>
      <w:pPr>
        <w:jc w:val="left"/>
      </w:pPr>
      <w:r>
        <w:t>Vom Geschäftskonto der Schuldnerin bei der Landessparkasse zu Oldenburg (IBAN DE44 2805 0100 0091 4437 02) sind sechs Überweisungen zu je 6.000 EUR an Lena Hollmann geflossen, Verwendungszweck jeweils "Ausbildungsunterstützung": am 8. Januar 2022, 15. Juli 2022, 12. Januar 2023, 14. Juli 2023, 15. Januar 2024 und 15. Juli 2024, zusammen 36.000 EUR. Ein Vertrag, eine Gegenleistung oder ein betrieblicher Anlass ist in den Unterlagen nicht dokumentiert. Lena Hollmann war nach dem Lohnjournal zu keinem Zeitpunkt Arbeitnehmerin der Schuldnerin. Sie studiert nach Auskunft des Geschäftsführers seit dem Wintersemester 2021/2022 Architektur in Hannover.</w:t>
      </w:r>
    </w:p>
    <w:p>
      <w:pPr>
        <w:pStyle w:val="Heading3"/>
      </w:pPr>
      <w:r>
        <w:rPr>
          <w:rFonts w:ascii="Times New Roman" w:hAnsi="Times New Roman"/>
        </w:rPr>
        <w:t>2.2 Übertragung des Firmenfahrzeugs BMW X3 auf die Ehefrau Karin Hollmann</w:t>
      </w:r>
    </w:p>
    <w:p>
      <w:pPr>
        <w:jc w:val="left"/>
      </w:pPr>
      <w:r>
        <w:t>Der im Anlagevermögen geführte BMW X3 xDrive20d (Erstzulassung März 2021, amtliches Kennzeichen OL-BH 214) ist mit "Vereinbarung" vom 15. September 2024 auf Karin Hollmann übertragen und am 19. September 2024 auf sie zugelassen worden. Der Restbuchwert betrug zum 15. September 2024 laut Anlagespiegel 28.500 EUR. Ein Kaufpreis ist nicht geflossen. Die Vereinbarung nennt als "Gegenleistung" die "langjährige unentgeltliche Mitarbeit in der Buchhaltung". Im Lohnjournal 2022 bis 2025 taucht Karin Hollmann nicht auf; ein Arbeits- oder Dienstvertrag ist nicht auffindbar. Ein Ankaufsangebot des Autohauses Wempe &amp; Sohn vom 5. September 2024 über 27.900 EUR liegt im Belegordner "Fuhrpark".</w:t>
      </w:r>
    </w:p>
    <w:p>
      <w:pPr>
        <w:pStyle w:val="Heading3"/>
      </w:pPr>
      <w:r>
        <w:rPr>
          <w:rFonts w:ascii="Times New Roman" w:hAnsi="Times New Roman"/>
        </w:rPr>
        <w:t>2.3 Bezahlung der Dachsanierung des Schwagers Uwe Tietjen</w:t>
      </w:r>
    </w:p>
    <w:p>
      <w:pPr>
        <w:jc w:val="left"/>
      </w:pPr>
      <w:r>
        <w:t>Die Rechnung Nr. 2025-0341 der Dachdeckerei Meyerdiercks GmbH, Wardenburg, vom 5. Juni 2025 über 19.800 EUR brutto ist an Uwe Tietjen, Huntloser Straße 12, 26203 Wardenburg, adressiert und betrifft die Neueindeckung des dortigen privaten Wohnhauses. Bezahlt wurde sie am 20. Juni 2025 vollständig vom Geschäftskonto der Schuldnerin, gebucht auf das Konto "Fremdleistungen". Uwe Tietjen ist der Bruder von Karin Hollmann. Ein Auftrag der Schuldnerin an die Dachdeckerei oder ein Bezug zu einem Bauvorhaben der Schuldnerin ist nicht feststellbar.</w:t>
      </w:r>
    </w:p>
    <w:p>
      <w:pPr>
        <w:pStyle w:val="Heading3"/>
      </w:pPr>
      <w:r>
        <w:rPr>
          <w:rFonts w:ascii="Times New Roman" w:hAnsi="Times New Roman"/>
        </w:rPr>
        <w:t>2.4 Überweisung "Geburtstagsgeschenk" an Karin Hollmann</w:t>
      </w:r>
    </w:p>
    <w:p>
      <w:pPr>
        <w:jc w:val="left"/>
      </w:pPr>
      <w:r>
        <w:t>Am 2. Mai 2025 sind 800 EUR vom Geschäftskonto an Karin Hollmann überwiesen worden, Verwendungszweck "Geburtstagsgeschenk 60. Karin". Der 60. Geburtstag von Karin Hollmann war am 3. Mai 2025.</w:t>
      </w:r>
    </w:p>
    <w:p>
      <w:pPr>
        <w:pStyle w:val="Heading2"/>
      </w:pPr>
      <w:r>
        <w:rPr>
          <w:rFonts w:ascii="Times New Roman" w:hAnsi="Times New Roman"/>
        </w:rPr>
        <w:t>3 Offene Punkte</w:t>
      </w:r>
    </w:p>
    <w:p>
      <w:pPr>
        <w:jc w:val="left"/>
      </w:pPr>
      <w:r>
        <w:t>Zu klären ist erstens, ob und in welchem Umfang Karin Hollmann tatsächlich Buchhaltungsarbeiten erledigt hat und ob dies rechtlich als Gegenleistung für die Fahrzeugübertragung gewertet werden kann. Zweitens ist die zeitliche Lage der ersten Überweisung an die Tochter (8. Januar 2022) im Verhältnis zum Eröffnungsantrag vom 10. März 2026 genau zu prüfen. Drittens ist zu würdigen, ob die Zuwendung vom 2. Mai 2025 als Gelegenheitsgeschenk einzuordnen ist. Der Fahrer der Schuldnerin, Herr Okonkwo, hat telefonisch angegeben, Frau Hollmann sei "früher öfter im Büro gewesen", in den letzten Jahren aber "eigentlich nur noch zum Kaffee".</w:t>
      </w:r>
    </w:p>
    <w:p>
      <w:pPr>
        <w:pStyle w:val="Heading2"/>
      </w:pPr>
      <w:r>
        <w:rPr>
          <w:rFonts w:ascii="Times New Roman" w:hAnsi="Times New Roman"/>
        </w:rPr>
        <w:t>4 Weiteres Vorgehen</w:t>
      </w:r>
    </w:p>
    <w:p>
      <w:pPr>
        <w:jc w:val="left"/>
      </w:pPr>
      <w:r>
        <w:t>Anfechtungsschreiben an Karin Hollmann, Lena Hollmann und Uwe Tietjen entwerfen; Verjährung ist nicht kritisch, gleichwohl zügige Geltendmachung. Kontoauszugs-Suchlauf und Lohnjournal als Anlagen aufbereiten.</w:t>
      </w:r>
    </w:p>
    <w:p>
      <w:pPr>
        <w:jc w:val="left"/>
      </w:pPr>
      <w:r>
        <w:t>Dr. Feddersen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