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Antwortschreiben Rechtsanwalt Dr. Bruns für die Familie Hollmann/Tietjen</w:t>
      </w:r>
    </w:p>
    <w:p>
      <w:pPr>
        <w:jc w:val="left"/>
      </w:pPr>
      <w:r>
        <w:rPr>
          <w:b/>
        </w:rPr>
        <w:t>Kanzlei Dr. Bruns &amp; Kollegen</w:t>
      </w:r>
    </w:p>
    <w:p>
      <w:pPr>
        <w:jc w:val="left"/>
      </w:pPr>
      <w:r>
        <w:t>Rechtsanwalt und Notar Dr. Heiner Bruns · Rechtsanwältin Wiebke Janßen</w:t>
      </w:r>
    </w:p>
    <w:p>
      <w:pPr>
        <w:jc w:val="left"/>
      </w:pPr>
      <w:r>
        <w:t>Gottorpstraße 19, 26122 Oldenburg</w:t>
      </w:r>
    </w:p>
    <w:p>
      <w:pPr>
        <w:jc w:val="left"/>
      </w:pPr>
      <w:r>
        <w:t>Telefon 0441 21983-0 · info@bruns-kollegen.de</w:t>
      </w:r>
    </w:p>
    <w:p>
      <w:pPr>
        <w:jc w:val="left"/>
      </w:pPr>
      <w:r>
        <w:t>Unser Zeichen: 411/26 HB-01</w:t>
      </w:r>
    </w:p>
    <w:p>
      <w:pPr>
        <w:jc w:val="left"/>
      </w:pPr>
      <w:r>
        <w:t>Ihr Zeichen: 224/26 JF</w:t>
      </w:r>
    </w:p>
    <w:p>
      <w:pPr>
        <w:jc w:val="left"/>
      </w:pPr>
      <w:r>
        <w:t>Oldenburg, den 29. Juni 2026</w:t>
      </w:r>
    </w:p>
    <w:p>
      <w:pPr>
        <w:jc w:val="left"/>
      </w:pPr>
      <w:r>
        <w:t>**Herrn Rechtsanwalt</w:t>
      </w:r>
    </w:p>
    <w:p>
      <w:pPr>
        <w:jc w:val="left"/>
      </w:pPr>
      <w:r>
        <w:t>Dr. Jasper Feddersen</w:t>
      </w:r>
    </w:p>
    <w:p>
      <w:pPr>
        <w:jc w:val="left"/>
      </w:pPr>
      <w:r>
        <w:t>– als Insolvenzverwalter der Hollmann Bau- und Sanierungs GmbH –</w:t>
      </w:r>
    </w:p>
    <w:p>
      <w:pPr>
        <w:jc w:val="left"/>
      </w:pPr>
      <w:r>
        <w:t>Theaterwall 8</w:t>
      </w:r>
    </w:p>
    <w:p>
      <w:pPr>
        <w:jc w:val="left"/>
      </w:pPr>
      <w:r>
        <w:t>26122 Oldenburg**</w:t>
      </w:r>
    </w:p>
    <w:p>
      <w:pPr>
        <w:jc w:val="left"/>
      </w:pPr>
      <w:r>
        <w:rPr>
          <w:b/>
        </w:rPr>
        <w:t>Betreff: Insolvenzverfahren Hollmann Bau- und Sanierungs GmbH (AG Oldenburg, 60 IN 87/26) – Ihre Anfechtungsschreiben vom 10. Juni 2026 an Frau Karin Hollmann, Frau Lena Hollmann und Herrn Uwe Tietjen</w:t>
      </w:r>
    </w:p>
    <w:p>
      <w:pPr>
        <w:jc w:val="left"/>
      </w:pPr>
      <w:r>
        <w:t>Sehr geehrter Herr Kollege Dr. Feddersen,</w:t>
      </w:r>
    </w:p>
    <w:p>
      <w:pPr>
        <w:jc w:val="left"/>
      </w:pPr>
      <w:r>
        <w:t>wir zeigen an, dass uns Frau Karin Hollmann, Frau Lena Hollmann und Herr Uwe Tietjen mit der Wahrnehmung ihrer Interessen beauftragt haben. Ordnungsgemäße Bevollmächtigung wird anwaltlich versichert. Die geltend gemachten Ansprüche weisen wir nach Prüfung der Sach- und Rechtslage ganz überwiegend zurück. Im Einzelnen gilt Folgendes.</w:t>
      </w:r>
    </w:p>
    <w:p>
      <w:pPr>
        <w:pStyle w:val="Heading2"/>
      </w:pPr>
      <w:r>
        <w:rPr>
          <w:rFonts w:ascii="Times New Roman" w:hAnsi="Times New Roman"/>
        </w:rPr>
        <w:t>1 Fahrzeugübertragung an Frau Karin Hollmann</w:t>
      </w:r>
    </w:p>
    <w:p>
      <w:pPr>
        <w:jc w:val="left"/>
      </w:pPr>
      <w:r>
        <w:t>Die Übertragung des BMW X3 war keine unentgeltliche Leistung. Frau Hollmann hat über mehr als fünfzehn Jahre die Buchhaltung der Gesellschaft vorbereitet, Belege sortiert und kontiert vorbereitet, den Zahlungsverkehr überwacht und die Unterlagen für den Steuerberater aufbereitet — regelmäßig an zwei bis drei Vormittagen in der Woche. Diese Tätigkeit hatte einen erheblichen wirtschaftlichen Wert; bei einem marktüblichen Stundensatz von 25 EUR und vorsichtig geschätzten zehn Wochenstunden ergibt sich über die Jahre ein Wert, der den Fahrzeugwert um ein Mehrfaches übersteigt. Die Vereinbarung vom 15. September 2024 hat diese Leistungen ausdrücklich zur Grundlage der Übertragung gemacht und zugleich sämtliche weitergehenden Ansprüche unserer Mandantin abgegolten. Es handelt sich damit um eine entgeltliche Verrechnungsabrede, jedenfalls um die Erfüllung einer nach den Grundsätzen über Dienstleistungen unter Ehegatten und § 612 BGB entstandenen Vergütungserwartung. Zum Beleg fügen wir die eidesstattliche Versicherung unserer Mandantin vom 26. Juni 2026 bei. Dass unsere Mandantin nicht im Lohnjournal geführt wurde, besagt über den Wert ihrer Arbeit nichts; es belegt nur, dass die Familie die Formalien vernachlässigt hat.</w:t>
      </w:r>
    </w:p>
    <w:p>
      <w:pPr>
        <w:jc w:val="left"/>
      </w:pPr>
      <w:r>
        <w:t>Unabhängig davon fehlte unserer Mandantin jede Kenntnis von einer angeblich schwierigen Lage der Gesellschaft. Ihr Ehemann hat geschäftliche Dinge zu Hause nicht besprochen. Einer gutgläubigen Ehefrau die Rückgabe des Familienfahrzeugs abzuverlangen, ist unbillig.</w:t>
      </w:r>
    </w:p>
    <w:p>
      <w:pPr>
        <w:pStyle w:val="Heading2"/>
      </w:pPr>
      <w:r>
        <w:rPr>
          <w:rFonts w:ascii="Times New Roman" w:hAnsi="Times New Roman"/>
        </w:rPr>
        <w:t>2 Zahlung von 800 EUR vom 2. Mai 2025</w:t>
      </w:r>
    </w:p>
    <w:p>
      <w:pPr>
        <w:jc w:val="left"/>
      </w:pPr>
      <w:r>
        <w:t xml:space="preserve">Die Überweisung zum 60. Geburtstag ist ein </w:t>
      </w:r>
      <w:r>
        <w:rPr>
          <w:b/>
        </w:rPr>
        <w:t>gebräuchliches Gelegenheitsgeschenk geringen Werts</w:t>
      </w:r>
      <w:r>
        <w:t xml:space="preserve"> im Sinne des § 134 Abs. 2 InsO. Ein runder Geburtstag ist der klassische Anlass; 800 EUR bewegen sich für einen Betrieb mit einem Jahresumsatz von zuletzt deutlich über einer Million EUR und für die Ehefrau des Alleingesellschafters im Rahmen des sozial Üblichen. Auf die von Ihnen angeführte Ertragslage kommt es für die Gebräuchlichkeit nicht an; maßgeblich sind Anlass und Verhältnisse der Beteiligten.</w:t>
      </w:r>
    </w:p>
    <w:p>
      <w:pPr>
        <w:pStyle w:val="Heading2"/>
      </w:pPr>
      <w:r>
        <w:rPr>
          <w:rFonts w:ascii="Times New Roman" w:hAnsi="Times New Roman"/>
        </w:rPr>
        <w:t>3 Zahlungen an Frau Lena Hollmann</w:t>
      </w:r>
    </w:p>
    <w:p>
      <w:pPr>
        <w:jc w:val="left"/>
      </w:pPr>
      <w:r>
        <w:t xml:space="preserve">Für die Überweisung vom </w:t>
      </w:r>
      <w:r>
        <w:rPr>
          <w:b/>
        </w:rPr>
        <w:t>8. Januar 2022</w:t>
      </w:r>
      <w:r>
        <w:t xml:space="preserve"> berufen wir uns auf den Ablauf der Vierjahresfrist des § 134 Abs. 1 InsO: Ihr eigener Fristbeginn ist der Eröffnungsantrag vom 10. März 2026; vier Jahre zurückgerechnet ist der 10. März 2022 der Stichtag, und die Zahlung vom 8. Januar 2022 liegt davor. Insoweit ist die Anfechtung offensichtlich unbegründet, was Sie in Ihrem Schreiben der Sache nach selbst einräumen. Für die übrigen Zahlungen machen wir geltend, dass es sich um Unterhaltsleistungen der Eltern handelte, die lediglich technisch über das Gesellschaftskonto abgewickelt und dort dem Verrechnungskonto des Gesellschafters belastet werden sollten; unsere Mandantin durfte die Zahlungen als Unterhalt ihrer Eltern verstehen. Sie ist zudem entreichert: Die Beträge sind vollständig in Miete, Semesterbeiträge und Lebenshaltung geflossen. Von einer Benachteiligung von Gläubigern wusste sie zu keinem Zeitpunkt.</w:t>
      </w:r>
    </w:p>
    <w:p>
      <w:pPr>
        <w:pStyle w:val="Heading2"/>
      </w:pPr>
      <w:r>
        <w:rPr>
          <w:rFonts w:ascii="Times New Roman" w:hAnsi="Times New Roman"/>
        </w:rPr>
        <w:t>4 Zahlung an die Dachdeckerei für Herrn Tietjen</w:t>
      </w:r>
    </w:p>
    <w:p>
      <w:pPr>
        <w:jc w:val="left"/>
      </w:pPr>
      <w:r>
        <w:t>Herr Tietjen hat die Begleichung seiner Rechnung durch die Gesellschaft nicht veranlasst und zunächst nicht einmal bemerkt; er ging von einer Zahlung seines Schwagers aus dessen Privatvermögen aus. Zwischen Herrn Tietjen und Herrn Hollmann bestand zudem eine Absprache, dass Herr Tietjen im Gegenzug im Sommer 2025 unentgeltlich Gerüstbau- und Transportleistungen für zwei Baustellen der Gesellschaft erbringt; diese Leistungen hat er teilweise erbracht, ehe der Betrieb zum Erliegen kam. Von Unentgeltlichkeit kann daher keine Rede sein. Jedenfalls fehlte Herrn Tietjen jede Kenntnis von der Lage der Gesellschaft.</w:t>
      </w:r>
    </w:p>
    <w:p>
      <w:pPr>
        <w:pStyle w:val="Heading2"/>
      </w:pPr>
      <w:r>
        <w:rPr>
          <w:rFonts w:ascii="Times New Roman" w:hAnsi="Times New Roman"/>
        </w:rPr>
        <w:t>5 Ergebnis und Vergleichsanregung</w:t>
      </w:r>
    </w:p>
    <w:p>
      <w:pPr>
        <w:jc w:val="left"/>
      </w:pPr>
      <w:r>
        <w:t xml:space="preserve">Nach alledem bestehen die Ansprüche gegen Frau Karin Hollmann und Herrn Tietjen nicht; gegen Frau Lena Hollmann kommen sie allenfalls für einen Teil der Zahlungen in Betracht. Ohne Anerkennung einer Rechtspflicht und zur Vermeidung einer gerichtlichen Auseinandersetzung bieten unsere Mandanten eine Gesamtzahlung von </w:t>
      </w:r>
      <w:r>
        <w:rPr>
          <w:b/>
        </w:rPr>
        <w:t>12.000 EUR</w:t>
      </w:r>
      <w:r>
        <w:t xml:space="preserve"> in monatlichen Raten von 500 EUR an. Wir regen an, die Angelegenheit in einem persönlichen Gespräch zu erörtern, und bitten um Fristverlängerung für alle drei Mandanten bis zum 31. Juli 2026.</w:t>
      </w:r>
    </w:p>
    <w:p>
      <w:pPr>
        <w:jc w:val="left"/>
      </w:pPr>
      <w:r>
        <w:t>Mit kollegialen Grüßen</w:t>
      </w:r>
    </w:p>
    <w:p>
      <w:pPr>
        <w:jc w:val="left"/>
      </w:pPr>
      <w:r>
        <w:t>Dr. Heiner Bruns</w:t>
      </w:r>
    </w:p>
    <w:p>
      <w:pPr>
        <w:jc w:val="left"/>
      </w:pPr>
      <w:r>
        <w:t>Rechtsanwalt und Notar</w:t>
      </w:r>
    </w:p>
    <w:p>
      <w:pPr>
        <w:jc w:val="left"/>
      </w:pPr>
      <w:r>
        <w:t>Anlage: Eidesstattliche Versicherung Karin Hollmann vom 26. Juni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