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Eidesstattliche Versicherung</w:t>
      </w:r>
    </w:p>
    <w:p>
      <w:pPr>
        <w:jc w:val="left"/>
      </w:pPr>
      <w:r>
        <w:rPr>
          <w:b/>
        </w:rPr>
        <w:t>Karin Hollmann</w:t>
      </w:r>
    </w:p>
    <w:p>
      <w:pPr>
        <w:jc w:val="left"/>
      </w:pPr>
      <w:r>
        <w:t>Ammerländer Heerstraße 214</w:t>
      </w:r>
    </w:p>
    <w:p>
      <w:pPr>
        <w:jc w:val="left"/>
      </w:pPr>
      <w:r>
        <w:t>26129 Oldenburg</w:t>
      </w:r>
    </w:p>
    <w:p>
      <w:pPr>
        <w:jc w:val="left"/>
      </w:pPr>
      <w:r>
        <w:t>Oldenburg, den 26. Juni 2026</w:t>
      </w:r>
    </w:p>
    <w:p>
      <w:pPr>
        <w:pStyle w:val="Heading2"/>
      </w:pPr>
      <w:r>
        <w:rPr>
          <w:rFonts w:ascii="Times New Roman" w:hAnsi="Times New Roman"/>
        </w:rPr>
        <w:t>Eidesstattliche Versicherung</w:t>
      </w:r>
    </w:p>
    <w:p>
      <w:pPr>
        <w:jc w:val="left"/>
      </w:pPr>
      <w:r>
        <w:t>Mir ist bekannt, dass eine falsche eidesstattliche Versicherung strafbar ist (§§ 156, 161 StGB). In Kenntnis dessen versichere ich an Eides statt:</w:t>
      </w:r>
    </w:p>
    <w:p>
      <w:pPr>
        <w:jc w:val="left"/>
      </w:pPr>
      <w:r>
        <w:t>1 Ich bin die Ehefrau von Bernd Hollmann, dem Geschäftsführer der Hollmann Bau- und Sanierungs GmbH. Wir sind seit 1990 verheiratet.</w:t>
      </w:r>
    </w:p>
    <w:p>
      <w:pPr>
        <w:jc w:val="left"/>
      </w:pPr>
      <w:r>
        <w:t>2 Seit der Gründung der GmbH im Jahr 2004 habe ich meinen Mann im Betrieb unterstützt. Ich habe die Eingangspost geöffnet und sortiert, Lieferantenrechnungen abgelegt, die Belege für den Steuerberater in Ordnern vorbereitet, Zahlungstermine in eine Liste eingetragen und meinen Mann erinnert, wenn etwas zu überweisen war. In den ersten Jahren war ich dafür fast jeden Vormittag im Büro, später — als unsere Tochter aus dem Haus war und Frau Büthe eingestellt wurde — je nach Anfall der Arbeit, mal zwei Vormittage in der Woche, mal seltener. Genaue Stunden habe ich nie aufgeschrieben. In den Jahren 2023 und 2024 habe ich vor allem die Ablage gemacht und Botengänge zur Bank und zum Steuerberater erledigt.</w:t>
      </w:r>
    </w:p>
    <w:p>
      <w:pPr>
        <w:jc w:val="left"/>
      </w:pPr>
      <w:r>
        <w:t>3 Ein Gehalt habe ich nie bekommen und auch nie verlangt. Mein Mann und ich waren uns aber immer einig, dass meine Arbeit "irgendwann einmal ausgeglichen" wird, wenn es dem Betrieb gut geht. Als mein Mann mir im September 2024 den BMW überschrieb, sagte er, das sei jetzt der Ausgleich für all die Jahre. So habe ich das auch verstanden.</w:t>
      </w:r>
    </w:p>
    <w:p>
      <w:pPr>
        <w:jc w:val="left"/>
      </w:pPr>
      <w:r>
        <w:t>4 Von Zahlungsschwierigkeiten der Firma habe ich vor Februar 2026 nichts gewusst. Über Geschäftszahlen haben wir zu Hause nicht gesprochen. Dass Handwerker oder das Finanzamt auf Geld warteten, habe ich erst mitbekommen, als mein Mann mir kurz vor dem Insolvenzantrag alles erzählt hat. Bei meinen Büroarbeiten habe ich zwar Mahnungen abgeheftet, mir dabei aber nichts gedacht, weil es Mahnungen auf dem Bau nach meiner Erfahrung immer gegeben hat.</w:t>
      </w:r>
    </w:p>
    <w:p>
      <w:pPr>
        <w:jc w:val="left"/>
      </w:pPr>
      <w:r>
        <w:t>5 Das Geburtstagsgeschenk von 800 EUR zu meinem 60. Geburtstag am 3. Mai 2025 habe ich für eine private Aufmerksamkeit meines Mannes gehalten. Dass die Überweisung vom Firmenkonto kam, habe ich damals nicht beachtet.</w:t>
      </w:r>
    </w:p>
    <w:p>
      <w:pPr>
        <w:jc w:val="left"/>
      </w:pPr>
      <w:r>
        <w:t>Karin Hollmann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