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Konzernstruktur und Beteiligungsübersicht der Karrenberg-Gruppe</w:t>
      </w:r>
    </w:p>
    <w:p>
      <w:pPr>
        <w:jc w:val="left"/>
      </w:pPr>
      <w:r>
        <w:rPr>
          <w:b/>
        </w:rPr>
        <w:t>Aufstellung des Verwalterbüros Mangold Restrukturierung</w:t>
      </w:r>
    </w:p>
    <w:p>
      <w:pPr>
        <w:jc w:val="left"/>
      </w:pPr>
      <w:r>
        <w:t>Königstraße 82, 70173 Stuttgart</w:t>
      </w:r>
    </w:p>
    <w:p>
      <w:pPr>
        <w:jc w:val="left"/>
      </w:pPr>
      <w:r>
        <w:t>Az.: 118/26 SM – Feinwerk Präzisionswerkzeuge GmbH (AG Stuttgart, 4 IN 312/26)</w:t>
      </w:r>
    </w:p>
    <w:p>
      <w:pPr>
        <w:jc w:val="left"/>
      </w:pPr>
      <w:r>
        <w:t>Stand: 20. Mai 2026, erstellt auf Grundlage der Handelsregisterauszüge, des Konzernabschlusses 2022 und der Unterlagen aus dem Verfahren 6 IN 1841/25</w:t>
      </w:r>
    </w:p>
    <w:p>
      <w:pPr>
        <w:pStyle w:val="Heading2"/>
      </w:pPr>
      <w:r>
        <w:rPr>
          <w:rFonts w:ascii="Times New Roman" w:hAnsi="Times New Roman"/>
        </w:rPr>
        <w:t>1 Organigramm (vereinfacht)</w:t>
      </w:r>
    </w:p>
    <w:p>
      <w:pPr>
        <w:jc w:val="left"/>
      </w:pPr>
      <w:r>
        <w:t>```</w:t>
      </w:r>
    </w:p>
    <w:p>
      <w:pPr>
        <w:jc w:val="left"/>
      </w:pPr>
      <w:r>
        <w:t>Familie Karrenberg (Claus-Peter Karrenberg 62 %, Verena Karrenberg-Sailer 38 %)</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100 %</w:t>
            </w:r>
          </w:p>
        </w:tc>
      </w:tr>
    </w:tbl>
    <w:p>
      <w:pPr>
        <w:jc w:val="left"/>
      </w:pPr>
      <w:r>
        <w:t>Karrenberg Industrieholding GmbH, Stuttgart (HRB 690318)   &lt;- Insolvenz eroeffnet 01.02.2026 (6 IN 1841/25)</w:t>
      </w:r>
    </w:p>
    <w:p>
      <w:pPr>
        <w:jc w:val="left"/>
      </w:pPr>
      <w:r>
        <w:t>+-- 100 %  Feinwerk Praezisionswerkzeuge GmbH, Stuttgart-Feuerbach (HRB 771204)   &lt;- Schuldnerin, Insolvenz eroeffnet 01.05.2026 (4 IN 312/26)</w:t>
      </w:r>
    </w:p>
    <w:p>
      <w:pPr>
        <w:jc w:val="left"/>
      </w:pPr>
      <w:r>
        <w:t>+-- 100 %  Karrenberg Anlagenbau GmbH, Esslingen (HRB 731556)   &lt;- Insolvenz eroeffnet 01.03.2026</w:t>
      </w:r>
    </w:p>
    <w:p>
      <w:pPr>
        <w:jc w:val="left"/>
      </w:pPr>
      <w:r>
        <w:t>+-- 74,9 % Karrenberg Oberflaechentechnik GmbH, Ludwigsburg (HRB 745012)   &lt;- Geschaeftsbetrieb verkauft (Januar 2026)</w:t>
      </w:r>
    </w:p>
    <w:p>
      <w:pPr>
        <w:jc w:val="left"/>
      </w:pPr>
      <w:r>
        <w:t>+-- 51 %   KB Logistik &amp; Services GmbH, Kornwestheim (HRB 758203)   &lt;- werbend taetig</w:t>
      </w:r>
    </w:p>
    <w:p>
      <w:pPr>
        <w:jc w:val="left"/>
      </w:pPr>
      <w:r>
        <w:t>```</w:t>
      </w:r>
    </w:p>
    <w:p>
      <w:pPr>
        <w:pStyle w:val="Heading2"/>
      </w:pPr>
      <w:r>
        <w:rPr>
          <w:rFonts w:ascii="Times New Roman" w:hAnsi="Times New Roman"/>
        </w:rPr>
        <w:t>2 Erläuterungen</w:t>
      </w:r>
    </w:p>
    <w:p>
      <w:pPr>
        <w:jc w:val="left"/>
      </w:pPr>
      <w:r>
        <w:t>Die Karrenberg Industrieholding GmbH ist eine reine Führungs- und Finanzholding ohne eigenes operatives Geschäft. Sie bündelte die zentrale Konzernfinanzierung: Kreditnehmerin sämtlicher Banklinien war ausschließlich die Holding, die die Mittel im Wege konzerninterner Darlehen und über ein Cash-Pooling an die Tochtergesellschaften weiterreichte. Die Schuldnerin nahm am Cash-Pooling seit 2019 teil.</w:t>
      </w:r>
    </w:p>
    <w:p>
      <w:pPr>
        <w:jc w:val="left"/>
      </w:pPr>
      <w:r>
        <w:t>Die Schuldnerin erzielte in den Geschäftsjahren 2022 bis 2024 zwischen 58 und 63 Prozent ihrer Umsatzerlöse mit Aufträgen der Karrenberg Anlagenbau GmbH und weiterer Konzerngesellschaften; der Rest entfiel auf konzernfremde Kunden aus dem Sondermaschinenbau.</w:t>
      </w:r>
    </w:p>
    <w:p>
      <w:pPr>
        <w:pStyle w:val="Heading2"/>
      </w:pPr>
      <w:r>
        <w:rPr>
          <w:rFonts w:ascii="Times New Roman" w:hAnsi="Times New Roman"/>
        </w:rPr>
        <w:t>3 Für das Anfechtungsverfahren bedeutsame Beziehungen</w:t>
      </w:r>
    </w:p>
    <w:p>
      <w:pPr>
        <w:jc w:val="left"/>
      </w:pPr>
      <w:r>
        <w:t xml:space="preserve">Die Schuldnerin ist Eigentümerin des Betriebsgrundstücks Siemensstraße 47 (Grundbuch von Feuerbach Blatt 8214). Mit notarieller Urkunde vom 15. Mai 2023 bestellte sie an diesem Grundstück eine Grundschuld über 1.200.000 EUR zugunsten der Süddeutschen Kreditbank AG und übernahm zusätzlich eine auf 800.000 EUR begrenzte selbstschuldnerische Bürgschaft — beides zur Besicherung des Konsortialkredits, den die Bank der </w:t>
      </w:r>
      <w:r>
        <w:rPr>
          <w:b/>
        </w:rPr>
        <w:t>Holding</w:t>
      </w:r>
      <w:r>
        <w:t xml:space="preserve"> am 12. Mai 2023 gewährte. Die Schuldnerin selbst war weder Kreditnehmerin noch erhielt sie aus dem Konsortialkredit unmittelbare Auszahlungen; eine Avalprovision oder sonstige Vergütung für die Sicherheitenbestellung ist weder vereinbart noch geflossen. Ein etwaiger Rückgriffs- oder Aufwendungsersatzanspruch der Schuldnerin richtet sich allein gegen die Holding.</w:t>
      </w:r>
    </w:p>
    <w:p>
      <w:pPr>
        <w:jc w:val="left"/>
      </w:pPr>
      <w:r>
        <w:t>Aufgestellt: Ass. iur. David Kranefuß, Verwalterbüro Mangold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