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Interner Vermerk der Verwalterin: Sicherheitenbestellung Mai 2023 und Aktenlage</w:t>
      </w:r>
    </w:p>
    <w:p>
      <w:pPr>
        <w:jc w:val="left"/>
      </w:pPr>
      <w:r>
        <w:rPr>
          <w:b/>
        </w:rPr>
        <w:t>Mangold Restrukturierung Rechtsanwaltsgesellschaft mbH</w:t>
      </w:r>
    </w:p>
    <w:p>
      <w:pPr>
        <w:jc w:val="left"/>
      </w:pPr>
      <w:r>
        <w:t>Königstraße 82, 70173 Stuttgart</w:t>
      </w:r>
    </w:p>
    <w:p>
      <w:pPr>
        <w:jc w:val="left"/>
      </w:pPr>
      <w:r>
        <w:t>Az.: 118/26 SM – Feinwerk Präzisionswerkzeuge GmbH (AG Stuttgart, 4 IN 312/26)</w:t>
      </w:r>
    </w:p>
    <w:p>
      <w:pPr>
        <w:jc w:val="left"/>
      </w:pPr>
      <w:r>
        <w:t>Verfasserin: RAin Dr. Sibylle Mangold</w:t>
      </w:r>
    </w:p>
    <w:p>
      <w:pPr>
        <w:jc w:val="left"/>
      </w:pPr>
      <w:r>
        <w:t>Datum: 26. Mai 2026</w:t>
      </w:r>
    </w:p>
    <w:p>
      <w:pPr>
        <w:pStyle w:val="Heading2"/>
      </w:pPr>
      <w:r>
        <w:rPr>
          <w:rFonts w:ascii="Times New Roman" w:hAnsi="Times New Roman"/>
        </w:rPr>
        <w:t>1 Anlass und Befund</w:t>
      </w:r>
    </w:p>
    <w:p>
      <w:pPr>
        <w:jc w:val="left"/>
      </w:pPr>
      <w:r>
        <w:t>Die Süddeutsche Kreditbank AG beansprucht die Absonderung aus der Grundschuld über 1,2 Mio. EUR am Betriebsgrundstück Feuerbach und hat vor Verfahrenseröffnung die Zwangsversteigerung beantragt (Verwertungsanzeige vom 20. Januar 2026); zusätzlich hat sie die Bürgschaft über 0,8 Mio. EUR zur Tabelle angemeldet. Beide Sicherheiten hat die Schuldnerin am 15. Mai 2023 für den Konsortialkredit der Muttergesellschaft bestellt. Die Schuldnerin war nicht Kreditnehmerin, hat aus dem Kredit keine Auszahlung erhalten und für die Bestellung keine Vergütung bekommen (Ziffer 9 Satz 2 des Kreditvertrags; Ziffer 3 der Bürgschaft; Ziffer 4 der Notarurkunde).</w:t>
      </w:r>
    </w:p>
    <w:p>
      <w:pPr>
        <w:pStyle w:val="Heading2"/>
      </w:pPr>
      <w:r>
        <w:rPr>
          <w:rFonts w:ascii="Times New Roman" w:hAnsi="Times New Roman"/>
        </w:rPr>
        <w:t>2 Beteiligte Vermögensverhältnisse</w:t>
      </w:r>
    </w:p>
    <w:p>
      <w:pPr>
        <w:jc w:val="left"/>
      </w:pPr>
      <w:r>
        <w:t>Zu unterscheiden sind drei Beziehungen: erstens das Deckungsverhältnis zwischen der Bank und der Mutter (Kreditgewährung), zweitens das Verhältnis der Schuldnerin zur Bank (Sicherheitenbestellung) und drittens das Innenverhältnis der Schuldnerin zur Mutter (etwaiger Aufwendungsersatz- und Rückgriffsanspruch). Für die Anfechtung gegenüber der Bank kommt es auf das zweite Verhältnis an; was die Mutter der Schuldnerin im Innenverhältnis schuldet oder versprochen hat, betrifft die Frage nur mittelbar — nämlich bei der Bewertung, ob die Schuldnerin für ihre Sicherheit einen werthaltigen Ausgleich hatte.</w:t>
      </w:r>
    </w:p>
    <w:p>
      <w:pPr>
        <w:pStyle w:val="Heading2"/>
      </w:pPr>
      <w:r>
        <w:rPr>
          <w:rFonts w:ascii="Times New Roman" w:hAnsi="Times New Roman"/>
        </w:rPr>
        <w:t>3 Werthaltigkeit des Rückgriffs im Mai 2023</w:t>
      </w:r>
    </w:p>
    <w:p>
      <w:pPr>
        <w:jc w:val="left"/>
      </w:pPr>
      <w:r>
        <w:t>Nach dem Treumann-Gutachten vom 28. April 2023 (Abschnitt 6) und dem bankinternen Memo vom 5. Mai 2023 (Ziffer 3) war ein Rückgriff gegen die Mutter für den Verwertungsfall schon bei Bestellung praktisch wertlos: Der Sicherungsfall setzt den Ausfall der Mutter voraus, und in diesem Szenario rechneten Gutachter und Bank übereinstimmend mit einer Quote im niedrigen einstelligen Prozentbereich. Die Bank hat die Drittsicherheit gerade deshalb verlangt.</w:t>
      </w:r>
    </w:p>
    <w:p>
      <w:pPr>
        <w:pStyle w:val="Heading2"/>
      </w:pPr>
      <w:r>
        <w:rPr>
          <w:rFonts w:ascii="Times New Roman" w:hAnsi="Times New Roman"/>
        </w:rPr>
        <w:t>4 Zeitliche Einordnung und Nebenbefund</w:t>
      </w:r>
    </w:p>
    <w:p>
      <w:pPr>
        <w:jc w:val="left"/>
      </w:pPr>
      <w:r>
        <w:t>Die Bestellung vom 15. Mai 2023 liegt innerhalb von vier Jahren vor dem Eröffnungsantrag der Schuldnerin vom 2. März 2026. Nebenbefund aus der Durchsicht der Finanzunterlagen: Der Eigenantrag datiert den Eintritt der Zahlungsunfähigkeit auf den 9. Februar 2026. Der von uns fortgeschriebene Liquiditätsstatus (Anlage, CSV) weist demgegenüber bereits ab Ende April 2025 eine dauerhafte Unterdeckung von mehr als 10 Prozent der fälligen Verbindlichkeiten aus; die E-Mail des Geschäftsführers vom 12. Mai 2025 zur verzögerten Lohnzahlung passt dazu. Das ist für die Anfechtung nach § 134 InsO nicht tatbestandsrelevant, aber für die Gesamtdarstellung im Bericht, für etwaige Deckungsanfechtungen gegen andere Gläubiger und für Ansprüche gegen die Geschäftsführung von Bedeutung.</w:t>
      </w:r>
    </w:p>
    <w:p>
      <w:pPr>
        <w:pStyle w:val="Heading2"/>
      </w:pPr>
      <w:r>
        <w:rPr>
          <w:rFonts w:ascii="Times New Roman" w:hAnsi="Times New Roman"/>
        </w:rPr>
        <w:t>5 Weiteres Vorgehen</w:t>
      </w:r>
    </w:p>
    <w:p>
      <w:pPr>
        <w:jc w:val="left"/>
      </w:pPr>
      <w:r>
        <w:t>Anfechtung der Sicherheitenbestellung gegenüber der Bank nach § 134 InsO erklären; Rückgewähr in Form der Grundschuldlöschung, Freigabe etwaiger Verwertungserlöse und Verzicht auf die Bürgschaftsforderung verlangen. Parallel Anmeldung des Rückgriffsanspruchs im Verfahren der Mutter (vorsorglich). Wiedervorlage nach Eingang der Bankantwort.</w:t>
      </w:r>
    </w:p>
    <w:p>
      <w:pPr>
        <w:jc w:val="left"/>
      </w:pPr>
      <w:r>
        <w:t>Dr. Mangold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