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der Insolvenzverwalterin</w:t>
      </w:r>
    </w:p>
    <w:p>
      <w:pPr>
        <w:jc w:val="left"/>
      </w:pPr>
      <w:r>
        <w:rPr>
          <w:b/>
        </w:rPr>
        <w:t>Mangold Restrukturierung Rechtsanwaltsgesellschaft mbH</w:t>
      </w:r>
    </w:p>
    <w:p>
      <w:pPr>
        <w:jc w:val="left"/>
      </w:pPr>
      <w:r>
        <w:t>Rechtsanwältin Dr. Sibylle Mangold</w:t>
      </w:r>
    </w:p>
    <w:p>
      <w:pPr>
        <w:jc w:val="left"/>
      </w:pPr>
      <w:r>
        <w:t>Königstraße 82, 70173 Stuttgart</w:t>
      </w:r>
    </w:p>
    <w:p>
      <w:pPr>
        <w:jc w:val="left"/>
      </w:pPr>
      <w:r>
        <w:t>Telefon 0711 66478-0 · kanzlei@mangold-restrukturierung.de</w:t>
      </w:r>
    </w:p>
    <w:p>
      <w:pPr>
        <w:jc w:val="left"/>
      </w:pPr>
      <w:r>
        <w:t>Unser Zeichen: 118/26 SM</w:t>
      </w:r>
    </w:p>
    <w:p>
      <w:pPr>
        <w:jc w:val="left"/>
      </w:pPr>
      <w:r>
        <w:t>Ihr Zeichen: 2026-0834/HvB-tk</w:t>
      </w:r>
    </w:p>
    <w:p>
      <w:pPr>
        <w:jc w:val="left"/>
      </w:pPr>
      <w:r>
        <w:t>Stuttgart, den 30. Juni 2026</w:t>
      </w:r>
    </w:p>
    <w:p>
      <w:pPr>
        <w:jc w:val="left"/>
      </w:pPr>
      <w:r>
        <w:rPr>
          <w:b/>
        </w:rPr>
        <w:t>Vorab per beA</w:t>
      </w:r>
    </w:p>
    <w:p>
      <w:pPr>
        <w:jc w:val="left"/>
      </w:pPr>
      <w:r>
        <w:t>**BERKHOFF LAUTERBACH &amp; PARTNER mbB</w:t>
      </w:r>
    </w:p>
    <w:p>
      <w:pPr>
        <w:jc w:val="left"/>
      </w:pPr>
      <w:r>
        <w:t>Herrn Rechtsanwalt Dr. Hanno von Berkhoff</w:t>
      </w:r>
    </w:p>
    <w:p>
      <w:pPr>
        <w:jc w:val="left"/>
      </w:pPr>
      <w:r>
        <w:t>Bockenheimer Landstraße 92</w:t>
      </w:r>
    </w:p>
    <w:p>
      <w:pPr>
        <w:jc w:val="left"/>
      </w:pPr>
      <w:r>
        <w:t>60323 Frankfurt am Main**</w:t>
      </w:r>
    </w:p>
    <w:p>
      <w:pPr>
        <w:jc w:val="left"/>
      </w:pPr>
      <w:r>
        <w:rPr>
          <w:b/>
        </w:rPr>
        <w:t>Betreff: Feinwerk Präzisionswerkzeuge GmbH (AG Stuttgart, 4 IN 312/26) – Ihre Erwiderung vom 22. Juni 2026</w:t>
      </w:r>
    </w:p>
    <w:p>
      <w:pPr>
        <w:jc w:val="left"/>
      </w:pPr>
      <w:r>
        <w:t>Sehr geehrter Herr Kollege Dr. von Berkhoff,</w:t>
      </w:r>
    </w:p>
    <w:p>
      <w:pPr>
        <w:jc w:val="left"/>
      </w:pPr>
      <w:r>
        <w:t>Ihre Erwiderung gibt Anlass zu folgenden Klarstellungen; an der Anfechtung wird festgehalten.</w:t>
      </w:r>
    </w:p>
    <w:p>
      <w:pPr>
        <w:pStyle w:val="Heading2"/>
      </w:pPr>
      <w:r>
        <w:rPr>
          <w:rFonts w:ascii="Times New Roman" w:hAnsi="Times New Roman"/>
        </w:rPr>
        <w:t>1 Die Kreditvaluta ist keine Gegenleistung an die Schuldnerin</w:t>
      </w:r>
    </w:p>
    <w:p>
      <w:pPr>
        <w:jc w:val="left"/>
      </w:pPr>
      <w:r>
        <w:t>Ihr "Gesamtpaket"-Argument verwechselt die maßgeblichen Vermögensmassen. Der Kredit wurde der Holding gewährt, die Valuta floss in das Vermögen der Holding, und die Rückzahlungsansprüche Ihrer Mandantin richten sich gegen die Holding. In das Vermögen der Schuldnerin — allein darauf kommt es für die Unentgeltlichkeit an — ist aus dem Vertragswerk vom Mai 2023 nichts gelangt: keine Valuta, keine Avalprovision, kein vertraglich gesicherter Anspruch. Dass die Sicherheit "Bestandteil" eines für Dritte entgeltlichen Geschäfts war, macht die Leistung der Schuldnerin nicht entgeltlich; andernfalls wäre jede Drittsicherheit der Anfechtung entzogen, weil irgendjemand stets eine Gegenleistung erhält.</w:t>
      </w:r>
    </w:p>
    <w:p>
      <w:pPr>
        <w:pStyle w:val="Heading2"/>
      </w:pPr>
      <w:r>
        <w:rPr>
          <w:rFonts w:ascii="Times New Roman" w:hAnsi="Times New Roman"/>
        </w:rPr>
        <w:t>2 Mittelbare Konzernvorteile sind rechtlich ungesicherte Hoffnungen</w:t>
      </w:r>
    </w:p>
    <w:p>
      <w:pPr>
        <w:jc w:val="left"/>
      </w:pPr>
      <w:r>
        <w:t>Die von Ihnen angeführten Vorteile — Fortbestand des Auftraggebers, Cash-Pooling, Zeitgewinn — waren der Schuldnerin an keiner Stelle rechtlich zugesagt. Der Kreditvertrag begründet keinerlei Anspruch der Schuldnerin auf Konzernaufträge; er kennt insoweit nur eine Anzeigepflicht der Kreditnehmerin (Ziffer 12 Buchstabe d). Das Cash-Pooling war für die Schuldnerin per Saldo im Übrigen kein Vorteil: Zum 31. Dezember 2025 valutierten ihre Forderungen aus dem Pool gegen die Holding mit rund 1,9 Mio. EUR — die Teilnahme hat Liquidität der Schuldnerin in den Konzern verlagert, nicht umgekehrt. Der "Zeitgewinn" von knapp drei Jahren hat die Verbindlichkeiten der Schuldnerin nach der Aktenlage nicht ab-, sondern aufgebaut. Bloße Erwerbsaussichten und Fortführungshoffnungen ohne einklagbare Grundlage gleichen den Verlust eines dinglichen Haftungsobjekts nicht aus.</w:t>
      </w:r>
    </w:p>
    <w:p>
      <w:pPr>
        <w:pStyle w:val="Heading2"/>
      </w:pPr>
      <w:r>
        <w:rPr>
          <w:rFonts w:ascii="Times New Roman" w:hAnsi="Times New Roman"/>
        </w:rPr>
        <w:t>3 Werthaltigkeit des Rückgriffs: Maßstab ist der Sicherungsfall, Zeitpunkt die Bestellung</w:t>
      </w:r>
    </w:p>
    <w:p>
      <w:pPr>
        <w:jc w:val="left"/>
      </w:pPr>
      <w:r>
        <w:t xml:space="preserve">Wir stellen nicht rückschauend auf das Jahr 2026 ab, sondern auf die Erkenntnislage vom Mai 2023, wie sie in den damals erstellten Dokumenten festgehalten ist. Das Treumann-Gutachten bescheinigte der Kreditnehmerin drohende Zahlungsunfähigkeit binnen weniger Monate und bewertete den Regress von Tochtergesellschaften </w:t>
      </w:r>
      <w:r>
        <w:rPr>
          <w:b/>
        </w:rPr>
        <w:t>für den Verwertungsfall</w:t>
      </w:r>
      <w:r>
        <w:t xml:space="preserve"> mit einer Quote im niedrigen einstelligen Prozentbereich; Ihre Mandantin hat denselben Rückgriff intern als "nicht belastbar" bewertet und die Drittsicherheit gerade deshalb zur Auszahlungsvoraussetzung gemacht. Die positive Fortführungsprognose stand unter der doppelten Bedingung vollständiger Maßnahmenumsetzung und durchgehender Finanzierung; sie besagt nichts über den Wert des Rückgriffs in dem einzigen Szenario, in dem die Sicherheit gezogen wird. Eine Sicherheit, deren Inanspruchnahme den wertlosen Rückgriff voraussetzt, ist aus Sicht der Sicherungsgeberin ohne Ausgleich. Das Bestreiten der "Verwertbarkeit" des Memos vom 5. Mai 2023 nehmen wir zur Kenntnis; das Dokument stammt aus der von Ihrem Haus an den Verwalter der Holding herausgegebenen Kreditakte und wird im Prozess vorgelegt werden.</w:t>
      </w:r>
    </w:p>
    <w:p>
      <w:pPr>
        <w:pStyle w:val="Heading2"/>
      </w:pPr>
      <w:r>
        <w:rPr>
          <w:rFonts w:ascii="Times New Roman" w:hAnsi="Times New Roman"/>
        </w:rPr>
        <w:t>4 Vertrauensschutz und Kenntnis sind keine Kategorien des § 134 InsO</w:t>
      </w:r>
    </w:p>
    <w:p>
      <w:pPr>
        <w:jc w:val="left"/>
      </w:pPr>
      <w:r>
        <w:t>Auf das Vertrauen Ihrer Mandantin in das Sanierungskonzept und auf ihre Unkenntnis von einer Krise der Schuldnerin kommt es nicht an: § 134 InsO setzt beim Anfechtungsgegner weder Kenntnis noch Bösgläubigkeit voraus, sondern verteilt das Risiko unentgeltlichen Erwerbs. Die von Ihnen beschworene Üblichkeit aufsteigender Sicherheiten ändert an deren Anfechtbarkeit nichts, wenn der Sicherungsgeberin — wie hier — kein werthaltiger Ausgleich zufließt.</w:t>
      </w:r>
    </w:p>
    <w:p>
      <w:pPr>
        <w:pStyle w:val="Heading2"/>
      </w:pPr>
      <w:r>
        <w:rPr>
          <w:rFonts w:ascii="Times New Roman" w:hAnsi="Times New Roman"/>
        </w:rPr>
        <w:t>5 Frist und weiteres Vorgehen</w:t>
      </w:r>
    </w:p>
    <w:p>
      <w:pPr>
        <w:jc w:val="left"/>
      </w:pPr>
      <w:r>
        <w:t xml:space="preserve">Zur Vermeidung der Klage erwarte ich die Erfüllung der Forderungen aus meinem Schreiben vom 8. Juni 2026 nunmehr bis zum </w:t>
      </w:r>
      <w:r>
        <w:rPr>
          <w:b/>
        </w:rPr>
        <w:t>21. Juli 2026</w:t>
      </w:r>
      <w:r>
        <w:t>. Einem Gespräch über eine einvernehmliche Gesamtlösung — einschließlich der von Ihnen angesprochenen freihändigen Verwertung, dann aber zugunsten der Masse — stehe ich weiterhin offen gegenüber. Die Klageschrift ist vorbereitet.</w:t>
      </w:r>
    </w:p>
    <w:p>
      <w:pPr>
        <w:jc w:val="left"/>
      </w:pPr>
      <w:r>
        <w:t>Mit freundlichen kollegialen Grüßen</w:t>
      </w:r>
    </w:p>
    <w:p>
      <w:pPr>
        <w:jc w:val="left"/>
      </w:pPr>
      <w:r>
        <w:t>Dr. Sibylle Mangold</w:t>
      </w:r>
    </w:p>
    <w:p>
      <w:pPr>
        <w:jc w:val="left"/>
      </w:pPr>
      <w:r>
        <w:t>Rechtsanwältin, als Insolvenzverwalterin über das Vermögen der Feinwerk Präzisionswerkzeuge GmbH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