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Interner Vermerk</w:t>
      </w:r>
    </w:p>
    <w:p>
      <w:pPr>
        <w:jc w:val="left"/>
      </w:pPr>
      <w:r>
        <w:rPr>
          <w:b/>
        </w:rPr>
        <w:t>Brettschneider Insolvenzverwaltung</w:t>
      </w:r>
      <w:r>
        <w:t xml:space="preserve"> · Rechtsanwalt Dr. Simon Brettschneider · Maximilianstraße 42 · 86150 Augsburg</w:t>
      </w:r>
    </w:p>
    <w:p>
      <w:pPr>
        <w:jc w:val="left"/>
      </w:pPr>
      <w:r>
        <w:t>Aktenzeichen: 072/26 BR · Verfahren: Lechtal Spedition und Logistik GmbH, AG Augsburg 5 IN 71/26</w:t>
      </w:r>
    </w:p>
    <w:p>
      <w:pPr>
        <w:jc w:val="left"/>
      </w:pPr>
      <w:r>
        <w:t>Augsburg, 20. Mai 2026</w:t>
      </w:r>
    </w:p>
    <w:p>
      <w:pPr>
        <w:jc w:val="left"/>
      </w:pPr>
      <w:r>
        <w:t>Verfasser: Dr. Brettschneider · Verteiler: Handakte Anfechtung Finanzamt</w:t>
      </w:r>
    </w:p>
    <w:p>
      <w:pPr>
        <w:pStyle w:val="Heading2"/>
      </w:pPr>
      <w:r>
        <w:rPr>
          <w:rFonts w:ascii="Times New Roman" w:hAnsi="Times New Roman"/>
        </w:rPr>
        <w:t>1 Gegenstand</w:t>
      </w:r>
    </w:p>
    <w:p>
      <w:pPr>
        <w:jc w:val="left"/>
      </w:pPr>
      <w:r>
        <w:t>Der Vermerk bereitet die Vorsatzanfechtung gegen den Freistaat Bayern, vertreten durch das Finanzamt Augsburg-Stadt, vor. Das Verfahren über das Vermögen der Lechtal Spedition und Logistik GmbH ist am 1. April 2026 eröffnet worden; ich bin zum Insolvenzverwalter bestellt.</w:t>
      </w:r>
    </w:p>
    <w:p>
      <w:pPr>
        <w:pStyle w:val="Heading2"/>
      </w:pPr>
      <w:r>
        <w:rPr>
          <w:rFonts w:ascii="Times New Roman" w:hAnsi="Times New Roman"/>
        </w:rPr>
        <w:t>2 Sachverhalt in Kurzform</w:t>
      </w:r>
    </w:p>
    <w:p>
      <w:pPr>
        <w:jc w:val="left"/>
      </w:pPr>
      <w:r>
        <w:t>2.1 Die Schuldnerin betrieb eine Spedition mit 41 Beschäftigten und 28 Zugmaschinen. Eine Umsatzsteuer-Sonderprüfung im Sommer 2022 führte zu Nachforderungen für die Zeiträume Juli 2021 bis Juni 2022 von 352.400,00 EUR; mit Säumniszuschlägen belief sich der Rückstand auf 388.000,00 EUR. Nach Vollstreckungsankündigung vom 15. August 2022 und einem fruchtlosen Pfändungsversuch am 14. September 2022 bewilligte das Finanzamt am 24. Oktober 2022 Vollstreckungsaufschub gegen Ratenzahlung: 29 Monatsraten zu 13.000,00 EUR ab dem 15. November 2022 und eine Schlussrate von 11.000,00 EUR zum 15. April 2025.</w:t>
      </w:r>
    </w:p>
    <w:p>
      <w:pPr>
        <w:jc w:val="left"/>
      </w:pPr>
      <w:r>
        <w:t>2.2 Die Schuldnerin hat alle 30 Raten — insgesamt 388.000,00 EUR — gezahlt, die letzte am 17. April 2025 (Zahlungsliste Aktenstück 07). Zwei Lastschriften (Raten 7 und 22) wurden mangels Deckung zurückgegeben und erst nach erneuter Vollstreckungsankündigung beziehungsweise nach einem zweiten fruchtlosen Pfändungsversuch vom 28. August 2024 ausgeglichen. Das Finanzamt bewilligte zweimal weiteren Vollstreckungsaufschub gegen Sicherheitsleistung: am 12. Juni 2023 gegen eine Bankbürgschaft über 40.000,00 EUR und am 9. September 2024 gegen Sicherungsabtretung von Frachtforderungen über 60.000,00 EUR.</w:t>
      </w:r>
    </w:p>
    <w:p>
      <w:pPr>
        <w:jc w:val="left"/>
      </w:pPr>
      <w:r>
        <w:t>2.3 Der Eigenantrag ist am 2. Februar 2026 gestellt worden. Der Vierjahreszeitraum des § 133 Abs. 2 InsO reicht damit bis zum 2. Februar 2022 zurück und erfasst sämtliche 30 Ratenzahlungen; für die Fristberechnung ist nach § 140 InsO auf den jeweiligen Zahlungseingang abzustellen, nicht auf die Ratenzahlungsvereinbarung.</w:t>
      </w:r>
    </w:p>
    <w:p>
      <w:pPr>
        <w:jc w:val="left"/>
      </w:pPr>
      <w:r>
        <w:t>2.4 Der Eigenantrag datiert den Eintritt der Zahlungsunfähigkeit auf Januar 2026 nach Kündigung des Factoringvertrags. Die eigenen Unterlagen der Schuldnerin sprechen eine andere Sprache: Die BWA-Quartalsreihe weist ab dem dritten Quartal 2022 durchgehend eine Unterdeckung der fälligen Verbindlichkeiten von mehr als 10 Prozent aus (14.6 bis zuletzt 34.4 Prozent, mit einem Tiefpunkt von 11.2 Prozent Ende 2023, Aktenstück 08). Zwei vom Steuerberater erstellte 13-Wochen-Liquiditätsplanungen vom 19. September 2022 und vom 4. März 2024 zeigen der Geschäftsführung die Lücke selbst: kumulierte Zahlungsrückstände von 515.000,00 EUR beziehungsweise 869.000,00 EUR am Planungshorizont, Unterdeckungsquoten von 19.0 beziehungsweise 30.8 Prozent (Aktenstücke 09 und 10).</w:t>
      </w:r>
    </w:p>
    <w:p>
      <w:pPr>
        <w:pStyle w:val="Heading2"/>
      </w:pPr>
      <w:r>
        <w:rPr>
          <w:rFonts w:ascii="Times New Roman" w:hAnsi="Times New Roman"/>
        </w:rPr>
        <w:t>3 Anfechtungsrechtliche Arbeitsthesen</w:t>
      </w:r>
    </w:p>
    <w:p>
      <w:pPr>
        <w:jc w:val="left"/>
      </w:pPr>
      <w:r>
        <w:t>3.1 Benachteiligungsvorsatz der Schuldnerin: Der Geschäftsführer kannte die Zahlungsunfähigkeit aus den eigenen Planungen seit September 2022. Die E-Mail an den Steuerberater vom 3. März 2023 („wir zahlen nur noch, wer am lautesten droht") belegt eine bewusste Priorisierung nach Vollstreckungsdruck. Wer in dieser Lage über Jahre einen einzelnen Gläubiger vollständig bedient, nimmt die Benachteiligung der übrigen mindestens billigend in Kauf; zu prüfen bleibt, ob der „Kampf ums Überleben" mit realistischer Sanierungsaussicht den Vorsatz ausschließen kann — eine belastbare Sanierungsgrundlage ist aus den Unterlagen nicht ersichtlich.</w:t>
      </w:r>
    </w:p>
    <w:p>
      <w:pPr>
        <w:jc w:val="left"/>
      </w:pPr>
      <w:r>
        <w:t>3.2 Kenntnis des Finanzamts: Nach § 133 Abs. 1 Satz 2 InsO wird die Kenntnis vermutet, wenn der Gläubiger die drohende Zahlungsunfähigkeit und die Benachteiligung kannte. Zu beachten ist die doppelte Einschränkung des § 133 Abs. 3 InsO: Bei kongruenter Deckung kommt es auf die eingetretene Zahlungsunfähigkeit an (Satz 1), und bei einer Ratenzahlungsvereinbarung wird vermutet, dass der Gläubiger die Zahlungsunfähigkeit nicht kannte (Satz 2). Die Bitte um Ratenzahlung allein trägt die Kenntnis also gerade nicht. Hier stehen der Vermutung jedoch die eigenen Vollstreckungsakten des Finanzamts entgegen: zwei fruchtlose Pfändungsversuche, zwei Rücklastschriften, Sicherheitsleistungen jeweils erst unter Vollstreckungsdruck und ab Mitte 2025 neue Rückstände bei den laufenden Steuern.</w:t>
      </w:r>
    </w:p>
    <w:p>
      <w:pPr>
        <w:jc w:val="left"/>
      </w:pPr>
      <w:r>
        <w:t>3.3 Kongruenz: Zahlungen, die ein Schuldner zur Abwendung einer unmittelbar bevorstehenden Vollstreckung leistet, sind als inkongruent einzuordnen; das betrifft jedenfalls die Raten 7 und 22 sowie die unter dem Eindruck der Ankündigungen geleisteten Folgezahlungen. Die Einordnung entscheidet zugleich über die Anwendbarkeit des § 133 Abs. 3 Satz 1 InsO.</w:t>
      </w:r>
    </w:p>
    <w:p>
      <w:pPr>
        <w:pStyle w:val="Heading2"/>
      </w:pPr>
      <w:r>
        <w:rPr>
          <w:rFonts w:ascii="Times New Roman" w:hAnsi="Times New Roman"/>
        </w:rPr>
        <w:t>4 Nächste Schritte</w:t>
      </w:r>
    </w:p>
    <w:p>
      <w:pPr>
        <w:jc w:val="left"/>
      </w:pPr>
      <w:r>
        <w:t>4.1 Anfechtungsschreiben mit Indizienkette und Zahlungsaufforderung über 388.000,00 EUR nebst Zinsen; zugleich Anfechtung der Sicherungsabtretung vom 9. September 2024 (erledigt mit Schreiben vom 8. Juni 2026, Aktenstück 13).</w:t>
      </w:r>
    </w:p>
    <w:p>
      <w:pPr>
        <w:jc w:val="left"/>
      </w:pPr>
      <w:r>
        <w:t>4.2 Nach Eingang der Erwiderung Entscheidung über Klage vor dem Landgericht Augsburg; Beklagter ist der Freistaat Bayern, vertreten durch das Landesamt für Steuern.</w:t>
      </w:r>
    </w:p>
    <w:p>
      <w:pPr>
        <w:jc w:val="left"/>
      </w:pPr>
      <w:r>
        <w:t>Dr. Simon Brettschneider</w:t>
      </w:r>
    </w:p>
    <w:p>
      <w:pPr>
        <w:jc w:val="left"/>
      </w:pPr>
      <w:r>
        <w:t>Rechtsanwalt, Insolvenzverwalter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