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des Finanzamts zur Insolvenzanfechtung</w:t>
      </w:r>
    </w:p>
    <w:p>
      <w:pPr>
        <w:jc w:val="left"/>
      </w:pPr>
      <w:r>
        <w:rPr>
          <w:b/>
        </w:rPr>
        <w:t>Finanzamt Augsburg-Stadt</w:t>
      </w:r>
      <w:r>
        <w:t xml:space="preserve"> · Prinzregentenplatz 2 · 86150 Augsburg · Telefon 0821 506-0</w:t>
      </w:r>
    </w:p>
    <w:p>
      <w:pPr>
        <w:jc w:val="left"/>
      </w:pPr>
      <w:r>
        <w:t>Steuernummer: 103/141/60712 · Geschäftszeichen: RB-Ins 26/114</w:t>
      </w:r>
    </w:p>
    <w:p>
      <w:pPr>
        <w:jc w:val="left"/>
      </w:pPr>
      <w:r>
        <w:t>Augsburg, den 25. Juni 2026</w:t>
      </w:r>
    </w:p>
    <w:p>
      <w:pPr>
        <w:jc w:val="left"/>
      </w:pPr>
      <w:r>
        <w:t>An Herrn Rechtsanwalt Dr. Simon Brettschneider — Insolvenzverwalter über das Vermögen der Lechtal Spedition und Logistik GmbH — Maximilianstraße 42, 86150 Augsburg</w:t>
      </w:r>
    </w:p>
    <w:p>
      <w:pPr>
        <w:jc w:val="left"/>
      </w:pPr>
      <w:r>
        <w:t>Betreff: Insolvenzverfahren Lechtal Spedition und Logistik GmbH, AG Augsburg 5 IN 71/26 — Ihr Anfechtungsschreiben vom 8. Juni 2026</w:t>
      </w:r>
    </w:p>
    <w:p>
      <w:pPr>
        <w:jc w:val="left"/>
      </w:pPr>
      <w:r>
        <w:t>Sehr geehrter Herr Dr. Brettschneider,</w:t>
      </w:r>
    </w:p>
    <w:p>
      <w:pPr>
        <w:jc w:val="left"/>
      </w:pPr>
      <w:r>
        <w:t>zu Ihrem Anfechtungsschreiben nehme ich für den Freistaat Bayern wie folgt Stellung. Die geltend gemachten Ansprüche werden zurückgewiesen; eine Zahlung erfolgt nicht.</w:t>
      </w:r>
    </w:p>
    <w:p>
      <w:pPr>
        <w:pStyle w:val="Heading2"/>
      </w:pPr>
      <w:r>
        <w:rPr>
          <w:rFonts w:ascii="Times New Roman" w:hAnsi="Times New Roman"/>
        </w:rPr>
        <w:t>1 Kongruente Deckung</w:t>
      </w:r>
    </w:p>
    <w:p>
      <w:pPr>
        <w:jc w:val="left"/>
      </w:pPr>
      <w:r>
        <w:t>Sämtliche angefochtenen Zahlungen waren kongruent. Die Umsatzsteuerforderungen waren bestandskräftig festgesetzt und fällig; das Finanzamt hatte auf jede einzelne Rate einen durchsetzbaren Anspruch genau zu dem Zeitpunkt und in der Höhe, in der sie geleistet wurde — so, wie es der Bescheid vom 24. Oktober 2022 vorsah. Auch die Sicherheitsleistungen beruhten auf ausdrücklichen, gesetzlich vorgesehenen Auflagen (§ 241 der Abgabenordnung). Dass eine Behörde die ihr gesetzlich eröffneten Vollstreckungsmittel ankündigt, macht die anschließende freiwillige Zahlung nicht inkongruent; andernfalls wäre jede Zahlung an eine Vollstreckungsbehörde inkongruent, was die Wertung des § 133 Abs. 3 Satz 1 InsO leerlaufen ließe. Der Hinweis auf drohende Vollstreckung ist bei fälligen Steuerforderungen der gesetzliche Normalfall, kein anfechtungsrechtlicher Makel.</w:t>
      </w:r>
    </w:p>
    <w:p>
      <w:pPr>
        <w:pStyle w:val="Heading2"/>
      </w:pPr>
      <w:r>
        <w:rPr>
          <w:rFonts w:ascii="Times New Roman" w:hAnsi="Times New Roman"/>
        </w:rPr>
        <w:t>2 Maßstab des § 133 Abs. 3 Satz 1 InsO</w:t>
      </w:r>
    </w:p>
    <w:p>
      <w:pPr>
        <w:jc w:val="left"/>
      </w:pPr>
      <w:r>
        <w:t>Da die Deckungen kongruent waren, tritt nach § 133 Abs. 3 Satz 1 InsO an die Stelle der drohenden die eingetretene Zahlungsunfähigkeit. Eine solche war für das Finanzamt zu keinem Zeitpunkt vor 2026 erkennbar. Interne Unterlagen der Schuldnerin — BWA-Reihen und Liquiditätsplanungen des Steuerberaters — lagen dem Finanzamt nicht vor und sind ihm nicht zuzurechnen. Maßgeblich ist allein der Wahrnehmungshorizont der Vollstreckungsstelle, und dieser zeigte über 30 Monate hinweg das Bild eines Schuldners, der einen erheblichen Rückstand diszipliniert und bis auf zwei kurzfristig geheilte Ausnahmen pünktlich zurückführt.</w:t>
      </w:r>
    </w:p>
    <w:p>
      <w:pPr>
        <w:pStyle w:val="Heading2"/>
      </w:pPr>
      <w:r>
        <w:rPr>
          <w:rFonts w:ascii="Times New Roman" w:hAnsi="Times New Roman"/>
        </w:rPr>
        <w:t>3 Wertung des § 133 Abs. 3 Satz 2 InsO</w:t>
      </w:r>
    </w:p>
    <w:p>
      <w:pPr>
        <w:jc w:val="left"/>
      </w:pPr>
      <w:r>
        <w:t>3.1 Die Schuldnerin hat eine Zahlungserleichterung erbeten; das Finanzamt hat sie im Rahmen der Gepflogenheiten des Geschäftsverkehrs — hier: der durch § 258 der Abgabenordnung vorgezeichneten Verwaltungspraxis — gewährt. Nach § 133 Abs. 3 Satz 2 InsO wird deshalb vermutet, dass das Finanzamt die Zahlungsunfähigkeit nicht kannte. Diese gesetzliche Wertung ist bewusst gläubigerfreundlich: Ratenzahlungsvereinbarungen sollen möglich bleiben, ohne dass sich der Gläubiger allein dadurch dem Anfechtungsrisiko aussetzt.</w:t>
      </w:r>
    </w:p>
    <w:p>
      <w:pPr>
        <w:jc w:val="left"/>
      </w:pPr>
      <w:r>
        <w:t>3.2 Die von Ihnen angeführten Umstände widerlegen die Vermutung nicht. Der Pfändungsversuch vom 14. September 2022 lag vor der Ratenzahlungsvereinbarung und war gerade deren Anlass; die anschließende dreißigmonatige, fast durchgehend pünktliche Bedienung des Ratenplans durfte das Finanzamt als Beleg dafür werten, dass die damalige Zahlungsstockung überwunden war. Zwei Rücklastschriften in dreißig Monaten, jeweils binnen drei Wochen ausgeglichen, begründen keine Kenntnis einer Zahlungseinstellung; sie zeigen im Gegenteil, dass die Schuldnerin zahlen konnte, wenn auch mit Verzögerung. Die Sicherheitsleistungen sind Ausdruck pflichtgemäßer Ermessensausübung zum Schutz des Steuergläubigers, nicht Ausdruck einer Kenntnis der Insolvenzreife. Von einer Kündigung des Factoringvertrags, von den Rückständen bei den Sozialversicherungsträgern und von der behaupteten E-Mail-Korrespondenz des Geschäftsführers hatte das Finanzamt keine Kenntnis.</w:t>
      </w:r>
    </w:p>
    <w:p>
      <w:pPr>
        <w:jc w:val="left"/>
      </w:pPr>
      <w:r>
        <w:t>3.3 Die ab Mitte 2025 aufgelaufenen neuen Rückstände bei den laufenden Steuern hat die Vollstreckungsstelle zum Anlass genommen, im Oktober 2025 eine Vollstreckungsankündigung zu versenden; zu Vollstreckungsmaßnahmen kam es vor der Antragstellung nicht mehr. Ein Rückschluss von diesen Rückständen auf eine bereits seit 2022 bestehende Zahlungsunfähigkeit ist nicht möglich und wird bestritten.</w:t>
      </w:r>
    </w:p>
    <w:p>
      <w:pPr>
        <w:pStyle w:val="Heading2"/>
      </w:pPr>
      <w:r>
        <w:rPr>
          <w:rFonts w:ascii="Times New Roman" w:hAnsi="Times New Roman"/>
        </w:rPr>
        <w:t>4 Kein Benachteiligungsvorsatz der Schuldnerin</w:t>
      </w:r>
    </w:p>
    <w:p>
      <w:pPr>
        <w:jc w:val="left"/>
      </w:pPr>
      <w:r>
        <w:t>Vorsorglich wird auch der Benachteiligungsvorsatz bestritten. Die Schuldnerin hat nicht einzelne Gläubiger gezielt bevorzugt, sondern im Rahmen eines über Jahre tragfähigen Geschäftsbetriebs ihre Rückstände planmäßig abgebaut und daneben Löhne, Leasingraten und Lieferanten bedient. Dass ein Speditionsunternehmen in einem schwierigen Marktumfeld Prioritäten setzt, belegt unternehmerisches Handeln, nicht den Willen, Gläubiger zu benachteiligen. Aus einer drei Jahre vor der Antragstellung angeblich geäußerten Zuspitzung in einer E-Mail kann ein durchgehender Vorsatz für 30 Einzelzahlungen nicht abgeleitet werden.</w:t>
      </w:r>
    </w:p>
    <w:p>
      <w:pPr>
        <w:pStyle w:val="Heading2"/>
      </w:pPr>
      <w:r>
        <w:rPr>
          <w:rFonts w:ascii="Times New Roman" w:hAnsi="Times New Roman"/>
        </w:rPr>
        <w:t>5 Ergebnis</w:t>
      </w:r>
    </w:p>
    <w:p>
      <w:pPr>
        <w:jc w:val="left"/>
      </w:pPr>
      <w:r>
        <w:t>Die Anfechtung ist unbegründet. Sollten Sie Klage erheben, wird der Freistaat Bayern, vertreten durch das Landesamt für Steuern, dieser entgegentreten. Die Freigabe der Sicherungsabtretung wird geprüft, sobald feststeht, dass aus ihr keine Rechte mehr herzuleiten sind; eine Verwertung ist bislang nicht erfolgt.</w:t>
      </w:r>
    </w:p>
    <w:p>
      <w:pPr>
        <w:jc w:val="left"/>
      </w:pPr>
      <w:r>
        <w:t>Mit freundlichen Grüßen</w:t>
      </w:r>
    </w:p>
    <w:p>
      <w:pPr>
        <w:jc w:val="left"/>
      </w:pPr>
      <w:r>
        <w:t>Im Auftrag</w:t>
      </w:r>
    </w:p>
    <w:p>
      <w:pPr>
        <w:jc w:val="left"/>
      </w:pPr>
      <w:r>
        <w:t>Dr. Wendlinger</w:t>
      </w:r>
    </w:p>
    <w:p>
      <w:pPr>
        <w:jc w:val="left"/>
      </w:pPr>
      <w:r>
        <w:t>Regierungsdirektor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