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des Insolvenzverwalters</w:t>
      </w:r>
    </w:p>
    <w:p>
      <w:pPr>
        <w:jc w:val="left"/>
      </w:pPr>
      <w:r>
        <w:rPr>
          <w:b/>
        </w:rPr>
        <w:t>Brettschneider Insolvenzverwaltung</w:t>
      </w:r>
      <w:r>
        <w:t xml:space="preserve"> · Rechtsanwalt Dr. Simon Brettschneider · Maximilianstraße 42 · 86150 Augsburg · Telefon 0821 34588-0</w:t>
      </w:r>
    </w:p>
    <w:p>
      <w:pPr>
        <w:jc w:val="left"/>
      </w:pPr>
      <w:r>
        <w:t>Aktenzeichen: 072/26 BR · Ihr Geschäftszeichen: RB-Ins 26/114</w:t>
      </w:r>
    </w:p>
    <w:p>
      <w:pPr>
        <w:jc w:val="left"/>
      </w:pPr>
      <w:r>
        <w:t>Augsburg, den 2. Juli 2026</w:t>
      </w:r>
    </w:p>
    <w:p>
      <w:pPr>
        <w:jc w:val="left"/>
      </w:pPr>
      <w:r>
        <w:t>An das Finanzamt Augsburg-Stadt, z. Hd. Herrn Regierungsdirektor Dr. Wendlinger, Prinzregentenplatz 2, 86150 Augsburg</w:t>
      </w:r>
    </w:p>
    <w:p>
      <w:pPr>
        <w:jc w:val="left"/>
      </w:pPr>
      <w:r>
        <w:t>Betreff: Insolvenzverfahren Lechtal Spedition und Logistik GmbH, AG Augsburg 5 IN 71/26 — Ihre Stellungnahme vom 25. Juni 2026</w:t>
      </w:r>
    </w:p>
    <w:p>
      <w:pPr>
        <w:jc w:val="left"/>
      </w:pPr>
      <w:r>
        <w:t>Sehr geehrter Herr Dr. Wendlinger,</w:t>
      </w:r>
    </w:p>
    <w:p>
      <w:pPr>
        <w:jc w:val="left"/>
      </w:pPr>
      <w:r>
        <w:t>Ihre Stellungnahme gibt Anlass zu folgender Entgegnung. An der Anfechtung halte ich in vollem Umfang fest.</w:t>
      </w:r>
    </w:p>
    <w:p>
      <w:pPr>
        <w:pStyle w:val="Heading2"/>
      </w:pPr>
      <w:r>
        <w:rPr>
          <w:rFonts w:ascii="Times New Roman" w:hAnsi="Times New Roman"/>
        </w:rPr>
        <w:t>1 Zur Kongruenz</w:t>
      </w:r>
    </w:p>
    <w:p>
      <w:pPr>
        <w:jc w:val="left"/>
      </w:pPr>
      <w:r>
        <w:t>1.1 Richtig ist, dass die Steuerforderungen fällig und die Raten nach dem Bescheid vom 24. Oktober 2022 geschuldet waren. Das trägt die Kongruenz aber nur, soweit die Zahlungen frei von konkretem Vollstreckungsdruck erfolgten. Eine Befriedigung, die der Schuldner nur leistet, um eine unmittelbar bevorstehende, bereits konkret eingeleitete Zwangsvollstreckung abzuwenden, erlangt der Gläubiger nicht in der geschuldeten Art: Er erlangt sie mit den Mitteln des Zwangs, die die Insolvenzordnung in der Krise gerade den Einzelgläubigern aus der Hand nimmt. Das betrifft hier die Nachzahlung der Rate 7 nach der Vollstreckungsankündigung vom 25. Mai 2023, die Nachzahlung der Rate 22 nach dem fruchtlosen Pfändungsversuch vom 28. August 2024, die unter dem angekündigten „endgültigen Widerruf" geleisteten Raten 23 bis 30 sowie beide Sicherheitsleistungen. Für diese Rechtshandlungen gilt die Beschränkung des § 133 Abs. 3 Satz 1 InsO von vornherein nicht.</w:t>
      </w:r>
    </w:p>
    <w:p>
      <w:pPr>
        <w:jc w:val="left"/>
      </w:pPr>
      <w:r>
        <w:t>1.2 Ihr Einwand, andernfalls sei jede Zahlung an eine Vollstreckungsbehörde inkongruent, überzeichnet: Kongruent bleibt die Zahlung des Schuldners, der zahlen kann und zahlt, weil er muss. Inkongruent wird sie, wenn der Gläubiger — wie hier zweifach dokumentiert — weiß, dass beim Schuldner nichts zu holen ist, und sich die Befriedigung gleichwohl über die Drohkulisse der Vollstreckung verschafft.</w:t>
      </w:r>
    </w:p>
    <w:p>
      <w:pPr>
        <w:pStyle w:val="Heading2"/>
      </w:pPr>
      <w:r>
        <w:rPr>
          <w:rFonts w:ascii="Times New Roman" w:hAnsi="Times New Roman"/>
        </w:rPr>
        <w:t>2 Zur Vermutung des § 133 Abs. 3 Satz 2 InsO</w:t>
      </w:r>
    </w:p>
    <w:p>
      <w:pPr>
        <w:jc w:val="left"/>
      </w:pPr>
      <w:r>
        <w:t>2.1 Ich stimme Ihnen zu, dass die Bitte um Ratenzahlung allein keine Kenntnis begründet; das habe ich in meinem Schreiben vom 8. Juni 2026 selbst vorangestellt. Die Vermutung des Satzes 2 ist aber widerleglich, und sie ist hier widerlegt — nicht durch interne Unterlagen der Schuldnerin, sondern durch den eigenen Akteninhalt Ihrer Vollstreckungsstelle: zwei fruchtlose Pfändungsversuche mit den protokollierten Feststellungen, dass sämtliche Fahrzeuge im Dritteigentum stehen und die Forderungen global abgetreten sind; zwei Rücklastschriften; Sicherheiten, die jeweils erst nach geplatzter Lastschrift und unter Vollstreckungsdruck beigebracht wurden; schließlich ab Mitte 2025 neue Rückstände von zuletzt 214.600,00 EUR bei gleichzeitig laufendem Altratenplan. Die Vollstreckungsstelle wusste damit positiv, dass die Schuldnerin über keinerlei freies Vermögen verfügte und ihre laufenden Steuern nicht mehr pünktlich zahlen konnte. Das ist die Kenntnis von Umständen, die zwingend auf die eingetretene Zahlungsunfähigkeit schließen lassen.</w:t>
      </w:r>
    </w:p>
    <w:p>
      <w:pPr>
        <w:jc w:val="left"/>
      </w:pPr>
      <w:r>
        <w:t>2.2 Die „disziplinierte Rückführung" besagt nichts anderes. Ein Schuldner, bei dem zweimal fruchtlos gepfändet wurde, der aber gleichwohl Monat für Monat 13.000,00 EUR an denjenigen Gläubiger zahlt, der als einziger mit Kontenpfändung und Vermögensauskunft droht, bedient nicht seine Gläubiger, sondern den Druck. Genau dieses Muster hatte Ihre Vollstreckungsstelle vor Augen; der Bescheid vom 9. September 2024 formuliert es selbst, indem er die Fortdauer „letztmalig" gewährt und den Katalog der Zwangsmittel auflistet.</w:t>
      </w:r>
    </w:p>
    <w:p>
      <w:pPr>
        <w:pStyle w:val="Heading2"/>
      </w:pPr>
      <w:r>
        <w:rPr>
          <w:rFonts w:ascii="Times New Roman" w:hAnsi="Times New Roman"/>
        </w:rPr>
        <w:t>3 Zum Benachteiligungsvorsatz</w:t>
      </w:r>
    </w:p>
    <w:p>
      <w:pPr>
        <w:jc w:val="left"/>
      </w:pPr>
      <w:r>
        <w:t>Die Schuldnerin hat über den gesamten Zeitraum nach eigener Planung mit einer nicht zu schließenden Liquiditätslücke gewirtschaftet; die 13-Wochen-Planungen von September 2022 und März 2024 weisen Unterdeckungsquoten von 19.0 und 30.8 Prozent aus. Ein „über Jahre tragfähiger Geschäftsbetrieb" sieht anders aus. Die E-Mail vom 3. März 2023 ist auch keine isolierte Zuspitzung, sondern die zutreffende Selbstbeschreibung des dokumentierten Zahlungsverhaltens: bedient wurde, wer drohte — das Finanzamt zuverlässig, die Sozialversicherungsträger und Lieferanten nachrangig. Für den Fortsetzungszusammenhang über alle 30 Raten spricht, dass sich die Lage nach den eigenen Planungen der Schuldnerin nie besserte und der Geschäftsführer dies wusste.</w:t>
      </w:r>
    </w:p>
    <w:p>
      <w:pPr>
        <w:pStyle w:val="Heading2"/>
      </w:pPr>
      <w:r>
        <w:rPr>
          <w:rFonts w:ascii="Times New Roman" w:hAnsi="Times New Roman"/>
        </w:rPr>
        <w:t>4 Zum weiteren Vorgehen</w:t>
      </w:r>
    </w:p>
    <w:p>
      <w:pPr>
        <w:jc w:val="left"/>
      </w:pPr>
      <w:r>
        <w:t xml:space="preserve">Ich verlängere die Zahlungsfrist letztmalig bis zum </w:t>
      </w:r>
      <w:r>
        <w:rPr>
          <w:b/>
        </w:rPr>
        <w:t>31. Juli 2026</w:t>
      </w:r>
      <w:r>
        <w:t xml:space="preserve"> und rege an, die Sache zuvor auf Arbeitsebene zu erörtern; einer Erledigung im Verwaltungsweg stehe ich offen gegenüber. Nach fruchtlosem Ablauf erhebe ich Klage gegen den Freistaat Bayern vor dem Landgericht Augsburg. Die angekündigte Prüfung der Freigabe der Sicherungsabtretung bitte ich bis zum selben Tag abzuschließen und mir das Ergebnis mitzuteilen.</w:t>
      </w:r>
    </w:p>
    <w:p>
      <w:pPr>
        <w:jc w:val="left"/>
      </w:pPr>
      <w:r>
        <w:t>Mit freundlichen Grüßen</w:t>
      </w:r>
    </w:p>
    <w:p>
      <w:pPr>
        <w:jc w:val="left"/>
      </w:pPr>
      <w:r>
        <w:t>Dr. Simon Brettschneider</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