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GwG-Anwendungsbereich: §§ 2 und 10 GwG — Verpflichteter und Sorgfaltspflichten</w:t>
      </w:r>
    </w:p>
    <w:p>
      <w:pPr>
        <w:jc w:val="left"/>
      </w:pPr>
      <w:r>
        <w:t>Bearbeiter: RAin Dr. Johanna Reimers</w:t>
      </w:r>
    </w:p>
    <w:p>
      <w:pPr>
        <w:jc w:val="left"/>
      </w:pPr>
      <w:r>
        <w:t>Datum: 16. April 2026</w:t>
      </w:r>
    </w:p>
    <w:p/>
    <w:p>
      <w:pPr>
        <w:pStyle w:val="Heading2"/>
      </w:pPr>
      <w:r>
        <w:rPr>
          <w:rFonts w:ascii="Times New Roman" w:hAnsi="Times New Roman"/>
        </w:rPr>
        <w:t>Vorbemerkung</w:t>
      </w:r>
    </w:p>
    <w:p>
      <w:pPr>
        <w:jc w:val="left"/>
      </w:pPr>
      <w:r>
        <w:t>Das Geldwäschegesetz (GwG) in der Fassung vom 23. Juni 2017 (BGBl. I S. 1822), zuletzt geändert durch Art. 4 des Gesetzes vom 12. August 2021 (BGBl. I S. 3544), ist für die Kanzlei Sandhof &amp; Partner als Verpflichteter unmittelbar anwendbar. Die folgende Analyse soll die konkrete Pflichtenstellung der Kanzlei — und damit die strafrechtliche und bußgeldrechtliche Ausgangssituation — abgrenzen.</w:t>
      </w:r>
    </w:p>
    <w:p>
      <w:pPr>
        <w:jc w:val="left"/>
      </w:pPr>
      <w:r>
        <w:t>Quellen: Gesetzestext über dejure.org / GwG; Anmerkungen zur AMLD-Umsetzung über EUR-Lex AMLD IV (2015/849) und AMLD V (2018/843).</w:t>
      </w:r>
    </w:p>
    <w:p/>
    <w:p>
      <w:pPr>
        <w:pStyle w:val="Heading2"/>
      </w:pPr>
      <w:r>
        <w:rPr>
          <w:rFonts w:ascii="Times New Roman" w:hAnsi="Times New Roman"/>
        </w:rPr>
        <w:t>§ 2 GwG — Verpflichtete</w:t>
      </w:r>
    </w:p>
    <w:p>
      <w:pPr>
        <w:pStyle w:val="Heading3"/>
      </w:pPr>
      <w:r>
        <w:rPr>
          <w:rFonts w:ascii="Times New Roman" w:hAnsi="Times New Roman"/>
        </w:rPr>
        <w:t>Gesetzestext (Auszug)</w:t>
      </w:r>
    </w:p>
    <w:p>
      <w:pPr>
        <w:jc w:val="left"/>
      </w:pPr>
      <w:r>
        <w:t>§ 2 Abs. 1 Nr. 10 GwG: „Rechtsanwälte, Kammerrechtsbeistände, Patentanwälte sowie Notare, soweit sie [...] an der Planung oder Durchführung von folgenden Transaktionen für ihre Mandanten mitwirken: a) Kauf und Verkauf von Immobilien oder Gewerbebetrieben [...]."</w:t>
      </w:r>
    </w:p>
    <w:p>
      <w:pPr>
        <w:pStyle w:val="Heading3"/>
      </w:pPr>
      <w:r>
        <w:rPr>
          <w:rFonts w:ascii="Times New Roman" w:hAnsi="Times New Roman"/>
        </w:rPr>
        <w:t>Subsumtion Kanzlei Sandhof &amp; Partner</w:t>
      </w:r>
    </w:p>
    <w:p>
      <w:pPr>
        <w:jc w:val="left"/>
      </w:pPr>
      <w:r>
        <w:t>Die Kanzlei hat in allen vier Transaktionen als Rechtsbeiststand des Käufers (Bluetail Holdings Ltd.) mitgewirkt. Die Leistung umfasste:</w:t>
      </w:r>
    </w:p>
    <w:p>
      <w:pPr>
        <w:pStyle w:val="ListBullet"/>
      </w:pPr>
      <w:r>
        <w:t>Prüfung der Kaufverträge</w:t>
      </w:r>
    </w:p>
    <w:p>
      <w:pPr>
        <w:pStyle w:val="ListBullet"/>
      </w:pPr>
      <w:r>
        <w:t>Vertretung bei Beurkundungsterminen</w:t>
      </w:r>
    </w:p>
    <w:p>
      <w:pPr>
        <w:pStyle w:val="ListBullet"/>
      </w:pPr>
      <w:r>
        <w:t>Korrespondenz mit dem beurkundenden Notar</w:t>
      </w:r>
    </w:p>
    <w:p>
      <w:pPr>
        <w:pStyle w:val="ListBullet"/>
      </w:pPr>
      <w:r>
        <w:t>Koordination der Kaufpreisabwicklung</w:t>
      </w:r>
    </w:p>
    <w:p>
      <w:pPr>
        <w:jc w:val="left"/>
      </w:pPr>
      <w:r>
        <w:t>Damit ist der Anwendungsbereich des GwG für alle vier Transaktionen eindeutig eröffnet. Eine Einschränkung nach § 2 Abs. 2 GwG (rein rechtliche Beratung) greift nicht, da die Kanzlei nicht nur beraten, sondern die Transaktion aktiv begleitet hat.</w:t>
      </w:r>
    </w:p>
    <w:p/>
    <w:p>
      <w:pPr>
        <w:pStyle w:val="Heading2"/>
      </w:pPr>
      <w:r>
        <w:rPr>
          <w:rFonts w:ascii="Times New Roman" w:hAnsi="Times New Roman"/>
        </w:rPr>
        <w:t>§ 10 GwG — Allgemeine Sorgfaltspflichten</w:t>
      </w:r>
    </w:p>
    <w:p>
      <w:pPr>
        <w:jc w:val="left"/>
      </w:pPr>
      <w:r>
        <w:t>§ 10 Abs. 1 GwG nennt die fünf allgemeinen Sorgfaltspflichten: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Pflicht</w:t>
            </w:r>
          </w:p>
        </w:tc>
        <w:tc>
          <w:tcPr>
            <w:tcW w:type="dxa" w:w="3024"/>
          </w:tcPr>
          <w:p>
            <w:r>
              <w:rPr>
                <w:rFonts w:ascii="Times New Roman" w:hAnsi="Times New Roman"/>
                <w:b/>
                <w:sz w:val="20"/>
              </w:rPr>
              <w:t>Rechtsgrundlage</w:t>
            </w:r>
          </w:p>
        </w:tc>
      </w:tr>
      <w:tr>
        <w:tc>
          <w:tcPr>
            <w:tcW w:type="dxa" w:w="3024"/>
          </w:tcPr>
          <w:p>
            <w:r>
              <w:rPr>
                <w:rFonts w:ascii="Times New Roman" w:hAnsi="Times New Roman"/>
                <w:sz w:val="20"/>
              </w:rPr>
              <w:t>1</w:t>
            </w:r>
          </w:p>
        </w:tc>
        <w:tc>
          <w:tcPr>
            <w:tcW w:type="dxa" w:w="3024"/>
          </w:tcPr>
          <w:p>
            <w:r>
              <w:rPr>
                <w:rFonts w:ascii="Times New Roman" w:hAnsi="Times New Roman"/>
                <w:sz w:val="20"/>
              </w:rPr>
              <w:t>Identifizierung des Vertragspartners</w:t>
            </w:r>
          </w:p>
        </w:tc>
        <w:tc>
          <w:tcPr>
            <w:tcW w:type="dxa" w:w="3024"/>
          </w:tcPr>
          <w:p>
            <w:r>
              <w:rPr>
                <w:rFonts w:ascii="Times New Roman" w:hAnsi="Times New Roman"/>
                <w:sz w:val="20"/>
              </w:rPr>
              <w:t>§ 10 Abs. 1 Nr. 1, § 11 GwG</w:t>
            </w:r>
          </w:p>
        </w:tc>
      </w:tr>
      <w:tr>
        <w:tc>
          <w:tcPr>
            <w:tcW w:type="dxa" w:w="3024"/>
          </w:tcPr>
          <w:p>
            <w:r>
              <w:rPr>
                <w:rFonts w:ascii="Times New Roman" w:hAnsi="Times New Roman"/>
                <w:sz w:val="20"/>
              </w:rPr>
              <w:t>2</w:t>
            </w:r>
          </w:p>
        </w:tc>
        <w:tc>
          <w:tcPr>
            <w:tcW w:type="dxa" w:w="3024"/>
          </w:tcPr>
          <w:p>
            <w:r>
              <w:rPr>
                <w:rFonts w:ascii="Times New Roman" w:hAnsi="Times New Roman"/>
                <w:sz w:val="20"/>
              </w:rPr>
              <w:t>Identifizierung des wirtschaftlich Berechtigten</w:t>
            </w:r>
          </w:p>
        </w:tc>
        <w:tc>
          <w:tcPr>
            <w:tcW w:type="dxa" w:w="3024"/>
          </w:tcPr>
          <w:p>
            <w:r>
              <w:rPr>
                <w:rFonts w:ascii="Times New Roman" w:hAnsi="Times New Roman"/>
                <w:sz w:val="20"/>
              </w:rPr>
              <w:t>§ 10 Abs. 1 Nr. 2, §§ 11, 13 GwG</w:t>
            </w:r>
          </w:p>
        </w:tc>
      </w:tr>
      <w:tr>
        <w:tc>
          <w:tcPr>
            <w:tcW w:type="dxa" w:w="3024"/>
          </w:tcPr>
          <w:p>
            <w:r>
              <w:rPr>
                <w:rFonts w:ascii="Times New Roman" w:hAnsi="Times New Roman"/>
                <w:sz w:val="20"/>
              </w:rPr>
              <w:t>3</w:t>
            </w:r>
          </w:p>
        </w:tc>
        <w:tc>
          <w:tcPr>
            <w:tcW w:type="dxa" w:w="3024"/>
          </w:tcPr>
          <w:p>
            <w:r>
              <w:rPr>
                <w:rFonts w:ascii="Times New Roman" w:hAnsi="Times New Roman"/>
                <w:sz w:val="20"/>
              </w:rPr>
              <w:t>Einholung und Bewertung von Informationen über Geschäftszweck</w:t>
            </w:r>
          </w:p>
        </w:tc>
        <w:tc>
          <w:tcPr>
            <w:tcW w:type="dxa" w:w="3024"/>
          </w:tcPr>
          <w:p>
            <w:r>
              <w:rPr>
                <w:rFonts w:ascii="Times New Roman" w:hAnsi="Times New Roman"/>
                <w:sz w:val="20"/>
              </w:rPr>
              <w:t>§ 10 Abs. 1 Nr. 3 GwG</w:t>
            </w:r>
          </w:p>
        </w:tc>
      </w:tr>
      <w:tr>
        <w:tc>
          <w:tcPr>
            <w:tcW w:type="dxa" w:w="3024"/>
          </w:tcPr>
          <w:p>
            <w:r>
              <w:rPr>
                <w:rFonts w:ascii="Times New Roman" w:hAnsi="Times New Roman"/>
                <w:sz w:val="20"/>
              </w:rPr>
              <w:t>4</w:t>
            </w:r>
          </w:p>
        </w:tc>
        <w:tc>
          <w:tcPr>
            <w:tcW w:type="dxa" w:w="3024"/>
          </w:tcPr>
          <w:p>
            <w:r>
              <w:rPr>
                <w:rFonts w:ascii="Times New Roman" w:hAnsi="Times New Roman"/>
                <w:sz w:val="20"/>
              </w:rPr>
              <w:t>Feststellung, ob Vertragspartner PEP oder sanktioniert ist</w:t>
            </w:r>
          </w:p>
        </w:tc>
        <w:tc>
          <w:tcPr>
            <w:tcW w:type="dxa" w:w="3024"/>
          </w:tcPr>
          <w:p>
            <w:r>
              <w:rPr>
                <w:rFonts w:ascii="Times New Roman" w:hAnsi="Times New Roman"/>
                <w:sz w:val="20"/>
              </w:rPr>
              <w:t>§ 10 Abs. 1 Nr. 4 GwG</w:t>
            </w:r>
          </w:p>
        </w:tc>
      </w:tr>
      <w:tr>
        <w:tc>
          <w:tcPr>
            <w:tcW w:type="dxa" w:w="3024"/>
          </w:tcPr>
          <w:p>
            <w:r>
              <w:rPr>
                <w:rFonts w:ascii="Times New Roman" w:hAnsi="Times New Roman"/>
                <w:sz w:val="20"/>
              </w:rPr>
              <w:t>5</w:t>
            </w:r>
          </w:p>
        </w:tc>
        <w:tc>
          <w:tcPr>
            <w:tcW w:type="dxa" w:w="3024"/>
          </w:tcPr>
          <w:p>
            <w:r>
              <w:rPr>
                <w:rFonts w:ascii="Times New Roman" w:hAnsi="Times New Roman"/>
                <w:sz w:val="20"/>
              </w:rPr>
              <w:t>Kontinuierliche Überwachung der Geschäftsbeziehung</w:t>
            </w:r>
          </w:p>
        </w:tc>
        <w:tc>
          <w:tcPr>
            <w:tcW w:type="dxa" w:w="3024"/>
          </w:tcPr>
          <w:p>
            <w:r>
              <w:rPr>
                <w:rFonts w:ascii="Times New Roman" w:hAnsi="Times New Roman"/>
                <w:sz w:val="20"/>
              </w:rPr>
              <w:t>§ 10 Abs. 1 Nr. 5 GwG</w:t>
            </w:r>
          </w:p>
        </w:tc>
      </w:tr>
    </w:tbl>
    <w:p>
      <w:pPr>
        <w:pStyle w:val="Heading3"/>
      </w:pPr>
      <w:r>
        <w:rPr>
          <w:rFonts w:ascii="Times New Roman" w:hAnsi="Times New Roman"/>
        </w:rPr>
        <w:t>Verstärkter Sorgfaltspflicht nach § 15 GwG</w:t>
      </w:r>
    </w:p>
    <w:p>
      <w:pPr>
        <w:jc w:val="left"/>
      </w:pPr>
      <w:r>
        <w:t>Besonders problematisch ist das Verhältnis zu § 15 GwG: Liegen Risikofaktoren vor — wie das Auftreten einer ausländischen juristischen Person ohne erkennbare wirtschaftliche Aktivität im Sitzland (zypriotische Briefkastengesellschaft) und eine grenzüberschreitende Transaktion — ist die verstärkte Sorgfalt anzuwenden. Dies bedeutet:</w:t>
      </w:r>
    </w:p>
    <w:p>
      <w:pPr>
        <w:pStyle w:val="ListBullet"/>
      </w:pPr>
      <w:r>
        <w:t>Einholung zusätzlicher Informationen zum wirtschaftlich Berechtigten</w:t>
      </w:r>
    </w:p>
    <w:p>
      <w:pPr>
        <w:pStyle w:val="ListBullet"/>
      </w:pPr>
      <w:r>
        <w:t>Einholung der Genehmigung des Seniormanagements (hier: Sandhof selbst)</w:t>
      </w:r>
    </w:p>
    <w:p>
      <w:pPr>
        <w:pStyle w:val="ListBullet"/>
      </w:pPr>
      <w:r>
        <w:t>Verstärkte Überwachung</w:t>
      </w:r>
    </w:p>
    <w:p>
      <w:pPr>
        <w:jc w:val="left"/>
      </w:pPr>
      <w:r>
        <w:t>Aus der Dokumentenlage ergibt sich kein Hinweis, dass diese verstärkte Sorgfaltspflicht erfüllt wurde.</w:t>
      </w:r>
    </w:p>
    <w:p/>
    <w:p>
      <w:pPr>
        <w:pStyle w:val="Heading2"/>
      </w:pPr>
      <w:r>
        <w:rPr>
          <w:rFonts w:ascii="Times New Roman" w:hAnsi="Times New Roman"/>
        </w:rPr>
        <w:t>Festgestellte Pflichtverletzungen im Überblick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Pflicht</w:t>
            </w:r>
          </w:p>
        </w:tc>
        <w:tc>
          <w:tcPr>
            <w:tcW w:type="dxa" w:w="2268"/>
          </w:tcPr>
          <w:p>
            <w:r>
              <w:rPr>
                <w:rFonts w:ascii="Times New Roman" w:hAnsi="Times New Roman"/>
                <w:b/>
                <w:sz w:val="20"/>
              </w:rPr>
              <w:t>§ GwG</w:t>
            </w:r>
          </w:p>
        </w:tc>
        <w:tc>
          <w:tcPr>
            <w:tcW w:type="dxa" w:w="2268"/>
          </w:tcPr>
          <w:p>
            <w:r>
              <w:rPr>
                <w:rFonts w:ascii="Times New Roman" w:hAnsi="Times New Roman"/>
                <w:b/>
                <w:sz w:val="20"/>
              </w:rPr>
              <w:t>Erfüllt?</w:t>
            </w:r>
          </w:p>
        </w:tc>
        <w:tc>
          <w:tcPr>
            <w:tcW w:type="dxa" w:w="2268"/>
          </w:tcPr>
          <w:p>
            <w:r>
              <w:rPr>
                <w:rFonts w:ascii="Times New Roman" w:hAnsi="Times New Roman"/>
                <w:b/>
                <w:sz w:val="20"/>
              </w:rPr>
              <w:t>Befund</w:t>
            </w:r>
          </w:p>
        </w:tc>
      </w:tr>
      <w:tr>
        <w:tc>
          <w:tcPr>
            <w:tcW w:type="dxa" w:w="2268"/>
          </w:tcPr>
          <w:p>
            <w:r>
              <w:rPr>
                <w:rFonts w:ascii="Times New Roman" w:hAnsi="Times New Roman"/>
                <w:sz w:val="20"/>
              </w:rPr>
              <w:t>Identifizierung Vertragspartner</w:t>
            </w:r>
          </w:p>
        </w:tc>
        <w:tc>
          <w:tcPr>
            <w:tcW w:type="dxa" w:w="2268"/>
          </w:tcPr>
          <w:p>
            <w:r>
              <w:rPr>
                <w:rFonts w:ascii="Times New Roman" w:hAnsi="Times New Roman"/>
                <w:sz w:val="20"/>
              </w:rPr>
              <w:t>§ 11 Abs. 4</w:t>
            </w:r>
          </w:p>
        </w:tc>
        <w:tc>
          <w:tcPr>
            <w:tcW w:type="dxa" w:w="2268"/>
          </w:tcPr>
          <w:p>
            <w:r>
              <w:rPr>
                <w:rFonts w:ascii="Times New Roman" w:hAnsi="Times New Roman"/>
                <w:sz w:val="20"/>
              </w:rPr>
              <w:t>Teilweise</w:t>
            </w:r>
          </w:p>
        </w:tc>
        <w:tc>
          <w:tcPr>
            <w:tcW w:type="dxa" w:w="2268"/>
          </w:tcPr>
          <w:p>
            <w:r>
              <w:rPr>
                <w:rFonts w:ascii="Times New Roman" w:hAnsi="Times New Roman"/>
                <w:sz w:val="20"/>
              </w:rPr>
              <w:t>Bluetail Holdings Ltd. wurde formal identifiziert (Handelsregisterauszug); keine Prüfung auf Scheinfirma</w:t>
            </w:r>
          </w:p>
        </w:tc>
      </w:tr>
      <w:tr>
        <w:tc>
          <w:tcPr>
            <w:tcW w:type="dxa" w:w="2268"/>
          </w:tcPr>
          <w:p>
            <w:r>
              <w:rPr>
                <w:rFonts w:ascii="Times New Roman" w:hAnsi="Times New Roman"/>
                <w:sz w:val="20"/>
              </w:rPr>
              <w:t>Identifizierung wirtschaftlich Berechtigter (UBO)</w:t>
            </w:r>
          </w:p>
        </w:tc>
        <w:tc>
          <w:tcPr>
            <w:tcW w:type="dxa" w:w="2268"/>
          </w:tcPr>
          <w:p>
            <w:r>
              <w:rPr>
                <w:rFonts w:ascii="Times New Roman" w:hAnsi="Times New Roman"/>
                <w:sz w:val="20"/>
              </w:rPr>
              <w:t>§ 11 Abs. 5, § 13</w:t>
            </w:r>
          </w:p>
        </w:tc>
        <w:tc>
          <w:tcPr>
            <w:tcW w:type="dxa" w:w="2268"/>
          </w:tcPr>
          <w:p>
            <w:r>
              <w:rPr>
                <w:rFonts w:ascii="Times New Roman" w:hAnsi="Times New Roman"/>
                <w:sz w:val="20"/>
              </w:rPr>
              <w:t>Nein</w:t>
            </w:r>
          </w:p>
        </w:tc>
        <w:tc>
          <w:tcPr>
            <w:tcW w:type="dxa" w:w="2268"/>
          </w:tcPr>
          <w:p>
            <w:r>
              <w:rPr>
                <w:rFonts w:ascii="Times New Roman" w:hAnsi="Times New Roman"/>
                <w:sz w:val="20"/>
              </w:rPr>
              <w:t>Kein UBO-Identifizierungsblatt in der Akte</w:t>
            </w:r>
          </w:p>
        </w:tc>
      </w:tr>
      <w:tr>
        <w:tc>
          <w:tcPr>
            <w:tcW w:type="dxa" w:w="2268"/>
          </w:tcPr>
          <w:p>
            <w:r>
              <w:rPr>
                <w:rFonts w:ascii="Times New Roman" w:hAnsi="Times New Roman"/>
                <w:sz w:val="20"/>
              </w:rPr>
              <w:t>Einholung Transparenzregisterauszug</w:t>
            </w:r>
          </w:p>
        </w:tc>
        <w:tc>
          <w:tcPr>
            <w:tcW w:type="dxa" w:w="2268"/>
          </w:tcPr>
          <w:p>
            <w:r>
              <w:rPr>
                <w:rFonts w:ascii="Times New Roman" w:hAnsi="Times New Roman"/>
                <w:sz w:val="20"/>
              </w:rPr>
              <w:t>§ 11 Abs. 5 S. 3</w:t>
            </w:r>
          </w:p>
        </w:tc>
        <w:tc>
          <w:tcPr>
            <w:tcW w:type="dxa" w:w="2268"/>
          </w:tcPr>
          <w:p>
            <w:r>
              <w:rPr>
                <w:rFonts w:ascii="Times New Roman" w:hAnsi="Times New Roman"/>
                <w:sz w:val="20"/>
              </w:rPr>
              <w:t>Nein</w:t>
            </w:r>
          </w:p>
        </w:tc>
        <w:tc>
          <w:tcPr>
            <w:tcW w:type="dxa" w:w="2268"/>
          </w:tcPr>
          <w:p>
            <w:r>
              <w:rPr>
                <w:rFonts w:ascii="Times New Roman" w:hAnsi="Times New Roman"/>
                <w:sz w:val="20"/>
              </w:rPr>
              <w:t>Kein Abruf aus dem Transparenzregister dokumentiert</w:t>
            </w:r>
          </w:p>
        </w:tc>
      </w:tr>
      <w:tr>
        <w:tc>
          <w:tcPr>
            <w:tcW w:type="dxa" w:w="2268"/>
          </w:tcPr>
          <w:p>
            <w:r>
              <w:rPr>
                <w:rFonts w:ascii="Times New Roman" w:hAnsi="Times New Roman"/>
                <w:sz w:val="20"/>
              </w:rPr>
              <w:t>Feststellung PEP/Sanktionierung</w:t>
            </w:r>
          </w:p>
        </w:tc>
        <w:tc>
          <w:tcPr>
            <w:tcW w:type="dxa" w:w="2268"/>
          </w:tcPr>
          <w:p>
            <w:r>
              <w:rPr>
                <w:rFonts w:ascii="Times New Roman" w:hAnsi="Times New Roman"/>
                <w:sz w:val="20"/>
              </w:rPr>
              <w:t>§ 10 Abs. 1 Nr. 4</w:t>
            </w:r>
          </w:p>
        </w:tc>
        <w:tc>
          <w:tcPr>
            <w:tcW w:type="dxa" w:w="2268"/>
          </w:tcPr>
          <w:p>
            <w:r>
              <w:rPr>
                <w:rFonts w:ascii="Times New Roman" w:hAnsi="Times New Roman"/>
                <w:sz w:val="20"/>
              </w:rPr>
              <w:t>Nein</w:t>
            </w:r>
          </w:p>
        </w:tc>
        <w:tc>
          <w:tcPr>
            <w:tcW w:type="dxa" w:w="2268"/>
          </w:tcPr>
          <w:p>
            <w:r>
              <w:rPr>
                <w:rFonts w:ascii="Times New Roman" w:hAnsi="Times New Roman"/>
                <w:sz w:val="20"/>
              </w:rPr>
              <w:t>Kein Sanktionscheck, kein PEP-Check</w:t>
            </w:r>
          </w:p>
        </w:tc>
      </w:tr>
      <w:tr>
        <w:tc>
          <w:tcPr>
            <w:tcW w:type="dxa" w:w="2268"/>
          </w:tcPr>
          <w:p>
            <w:r>
              <w:rPr>
                <w:rFonts w:ascii="Times New Roman" w:hAnsi="Times New Roman"/>
                <w:sz w:val="20"/>
              </w:rPr>
              <w:t>Risikoklassifizierung</w:t>
            </w:r>
          </w:p>
        </w:tc>
        <w:tc>
          <w:tcPr>
            <w:tcW w:type="dxa" w:w="2268"/>
          </w:tcPr>
          <w:p>
            <w:r>
              <w:rPr>
                <w:rFonts w:ascii="Times New Roman" w:hAnsi="Times New Roman"/>
                <w:sz w:val="20"/>
              </w:rPr>
              <w:t>§§ 10, 15</w:t>
            </w:r>
          </w:p>
        </w:tc>
        <w:tc>
          <w:tcPr>
            <w:tcW w:type="dxa" w:w="2268"/>
          </w:tcPr>
          <w:p>
            <w:r>
              <w:rPr>
                <w:rFonts w:ascii="Times New Roman" w:hAnsi="Times New Roman"/>
                <w:sz w:val="20"/>
              </w:rPr>
              <w:t>Nein</w:t>
            </w:r>
          </w:p>
        </w:tc>
        <w:tc>
          <w:tcPr>
            <w:tcW w:type="dxa" w:w="2268"/>
          </w:tcPr>
          <w:p>
            <w:r>
              <w:rPr>
                <w:rFonts w:ascii="Times New Roman" w:hAnsi="Times New Roman"/>
                <w:sz w:val="20"/>
              </w:rPr>
              <w:t>Keine interne Risikoklassifizierung der Transaktionen</w:t>
            </w:r>
          </w:p>
        </w:tc>
      </w:tr>
      <w:tr>
        <w:tc>
          <w:tcPr>
            <w:tcW w:type="dxa" w:w="2268"/>
          </w:tcPr>
          <w:p>
            <w:r>
              <w:rPr>
                <w:rFonts w:ascii="Times New Roman" w:hAnsi="Times New Roman"/>
                <w:sz w:val="20"/>
              </w:rPr>
              <w:t>FIU-Meldung</w:t>
            </w:r>
          </w:p>
        </w:tc>
        <w:tc>
          <w:tcPr>
            <w:tcW w:type="dxa" w:w="2268"/>
          </w:tcPr>
          <w:p>
            <w:r>
              <w:rPr>
                <w:rFonts w:ascii="Times New Roman" w:hAnsi="Times New Roman"/>
                <w:sz w:val="20"/>
              </w:rPr>
              <w:t>§ 43 GwG</w:t>
            </w:r>
          </w:p>
        </w:tc>
        <w:tc>
          <w:tcPr>
            <w:tcW w:type="dxa" w:w="2268"/>
          </w:tcPr>
          <w:p>
            <w:r>
              <w:rPr>
                <w:rFonts w:ascii="Times New Roman" w:hAnsi="Times New Roman"/>
                <w:sz w:val="20"/>
              </w:rPr>
              <w:t>Nein</w:t>
            </w:r>
          </w:p>
        </w:tc>
        <w:tc>
          <w:tcPr>
            <w:tcW w:type="dxa" w:w="2268"/>
          </w:tcPr>
          <w:p>
            <w:r>
              <w:rPr>
                <w:rFonts w:ascii="Times New Roman" w:hAnsi="Times New Roman"/>
                <w:sz w:val="20"/>
              </w:rPr>
              <w:t>Keine Meldung trotz Anhaltspunkten</w:t>
            </w:r>
          </w:p>
        </w:tc>
      </w:tr>
      <w:tr>
        <w:tc>
          <w:tcPr>
            <w:tcW w:type="dxa" w:w="2268"/>
          </w:tcPr>
          <w:p>
            <w:r>
              <w:rPr>
                <w:rFonts w:ascii="Times New Roman" w:hAnsi="Times New Roman"/>
                <w:sz w:val="20"/>
              </w:rPr>
              <w:t>Dokumentation</w:t>
            </w:r>
          </w:p>
        </w:tc>
        <w:tc>
          <w:tcPr>
            <w:tcW w:type="dxa" w:w="2268"/>
          </w:tcPr>
          <w:p>
            <w:r>
              <w:rPr>
                <w:rFonts w:ascii="Times New Roman" w:hAnsi="Times New Roman"/>
                <w:sz w:val="20"/>
              </w:rPr>
              <w:t>§ 8 GwG</w:t>
            </w:r>
          </w:p>
        </w:tc>
        <w:tc>
          <w:tcPr>
            <w:tcW w:type="dxa" w:w="2268"/>
          </w:tcPr>
          <w:p>
            <w:r>
              <w:rPr>
                <w:rFonts w:ascii="Times New Roman" w:hAnsi="Times New Roman"/>
                <w:sz w:val="20"/>
              </w:rPr>
              <w:t>Unvollständig</w:t>
            </w:r>
          </w:p>
        </w:tc>
        <w:tc>
          <w:tcPr>
            <w:tcW w:type="dxa" w:w="2268"/>
          </w:tcPr>
          <w:p>
            <w:r>
              <w:rPr>
                <w:rFonts w:ascii="Times New Roman" w:hAnsi="Times New Roman"/>
                <w:sz w:val="20"/>
              </w:rPr>
              <w:t>Keine lückenlosen KYC-Dokumente</w:t>
            </w:r>
          </w:p>
        </w:tc>
      </w:tr>
    </w:tbl>
    <w:p/>
    <w:p>
      <w:pPr>
        <w:pStyle w:val="Heading2"/>
      </w:pPr>
      <w:r>
        <w:rPr>
          <w:rFonts w:ascii="Times New Roman" w:hAnsi="Times New Roman"/>
        </w:rPr>
        <w:t>Europarechtlicher Rahmen</w:t>
      </w:r>
    </w:p>
    <w:p>
      <w:pPr>
        <w:jc w:val="left"/>
      </w:pPr>
      <w:r>
        <w:t>Das GwG setzt die Vierte Geldwäscherichtlinie (AMLD IV, 2015/849/EU) sowie die Fünfte Geldwäscherichtlinie (AMLD V, 2018/843/EU) in deutsches Recht um. Die sechste Richtlinie (6AMLD, 2018/1673/EU) betrifft primär das Strafrecht. Der Verordnungsentwurf AMLR (Anti-Money Laundering Regulation, COM(2021) 420) ist noch nicht in Kraft getreten, ändert an der hier relevanten deutschen Rechtslage nichts.</w:t>
      </w:r>
    </w:p>
    <w:p>
      <w:pPr>
        <w:jc w:val="left"/>
      </w:pPr>
      <w:r>
        <w:t>Für Immobilientransaktionen ist besonders die AMLD V relevant, die die Sorgfaltspflichten für Immobilientransaktionen verschärft hat (Art. 2 Abs. 1 Nr. 3 lit. b AMLD V). Deutschland hat diese Vorgaben mit der GwG-Novelle 2020 umgesetzt.</w:t>
      </w:r>
    </w:p>
    <w:p/>
    <w:p>
      <w:pPr>
        <w:pStyle w:val="Heading2"/>
      </w:pPr>
      <w:r>
        <w:rPr>
          <w:rFonts w:ascii="Times New Roman" w:hAnsi="Times New Roman"/>
        </w:rPr>
        <w:t>Bewertung für die Verteidigung</w:t>
      </w:r>
    </w:p>
    <w:p>
      <w:pPr>
        <w:jc w:val="left"/>
      </w:pPr>
      <w:r>
        <w:t>Die objektiven Pflichtverletzungen sind kaum bestreitbar. Die Verteidigung muss sich auf folgende Punkte konzentrieren:</w:t>
      </w:r>
    </w:p>
    <w:p>
      <w:pPr>
        <w:pStyle w:val="ListNumber"/>
      </w:pPr>
      <w:r>
        <w:rPr>
          <w:b/>
        </w:rPr>
        <w:t>Fehlendes Vorsatzelement (§ 261 StGB):</w:t>
      </w:r>
      <w:r>
        <w:t xml:space="preserve"> Bußgelder nach § 17 GwG sind Fahrlässigkeitstaten; Strafbarkeit nach § 261 StGB setzt hingegen zumindest bedingten Vorsatz voraus.</w:t>
      </w:r>
    </w:p>
    <w:p>
      <w:pPr>
        <w:pStyle w:val="ListNumber"/>
      </w:pPr>
      <w:r>
        <w:rPr>
          <w:b/>
        </w:rPr>
        <w:t>Organisationsverschulden vs. persönliche Schuld:</w:t>
      </w:r>
      <w:r>
        <w:t xml:space="preserve"> Sandhof war Seniorpartner, aber nicht der Sachbearbeiter der Transaktionen. Es ist zu prüfen, ob und in welchem Umfang er die konkrete Abwicklung delegiert hatte und ob die Sachbearbeiter Westricher und Bohlmann eigenverantwortlich gehandelt haben.</w:t>
      </w:r>
    </w:p>
    <w:p>
      <w:pPr>
        <w:pStyle w:val="ListNumber"/>
      </w:pPr>
      <w:r>
        <w:rPr>
          <w:b/>
        </w:rPr>
        <w:t>Rückwirkende Compliance-Maßnahmen:</w:t>
      </w:r>
      <w:r>
        <w:t xml:space="preserve"> Die sofortige Einleitung eines Compliance-Redesigns kann im Bußgeldverfahren und im berufsrechtlichen Verfahren strafmildernd wirken.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