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KYC-Pflichten §§ 10, 11 GwG: Smolenski / Bluetail Holdings</w:t>
      </w:r>
    </w:p>
    <w:p>
      <w:pPr>
        <w:jc w:val="left"/>
      </w:pPr>
      <w:r>
        <w:t>Bearbeiter: RAin Dr. Johanna Reimers</w:t>
      </w:r>
    </w:p>
    <w:p>
      <w:pPr>
        <w:jc w:val="left"/>
      </w:pPr>
      <w:r>
        <w:t>Datum: 17. April 2026</w:t>
      </w:r>
    </w:p>
    <w:p/>
    <w:p>
      <w:pPr>
        <w:pStyle w:val="Heading2"/>
      </w:pPr>
      <w:r>
        <w:rPr>
          <w:rFonts w:ascii="Times New Roman" w:hAnsi="Times New Roman"/>
        </w:rPr>
        <w:t>Sachverhalt: KYC bei den vier Amrum-Transaktionen</w:t>
      </w:r>
    </w:p>
    <w:p>
      <w:pPr>
        <w:jc w:val="left"/>
      </w:pPr>
      <w:r>
        <w:t>Die Kanzlei Sandhof &amp; Partner hat in allen vier Kaufvorgängen (Juni 2024 bis Februar 2025) die Bluetail Holdings Ltd. als Käuferin vertreten. Die Dokumentenanalyse der bei der Kanzlei vorliegenden Akten ergibt folgenden Befund.</w:t>
      </w:r>
    </w:p>
    <w:p>
      <w:pPr>
        <w:pStyle w:val="Heading3"/>
      </w:pPr>
      <w:r>
        <w:rPr>
          <w:rFonts w:ascii="Times New Roman" w:hAnsi="Times New Roman"/>
        </w:rPr>
        <w:t>Was ist dokumentiert</w:t>
      </w:r>
    </w:p>
    <w:p>
      <w:pPr>
        <w:pStyle w:val="ListBullet"/>
      </w:pPr>
      <w:r>
        <w:t>Auszug aus dem zypriotischen Handelsregister (englischsprachig, keine beglaubigte Übersetzung)</w:t>
      </w:r>
    </w:p>
    <w:p>
      <w:pPr>
        <w:pStyle w:val="ListBullet"/>
      </w:pPr>
      <w:r>
        <w:t>E-Mail-Korrespondenz mit dem in Limassol ansässigen Offshore-Dienstleister „Laiki Service Solutions Ltd."</w:t>
      </w:r>
    </w:p>
    <w:p>
      <w:pPr>
        <w:pStyle w:val="ListBullet"/>
      </w:pPr>
      <w:r>
        <w:t>Vollmacht zugunsten eines Herrn Nikolaos Papadimitriou (cypriotischer Nationalität), der die Gesellschaft in den Beurkundungsterminen vertreten hat</w:t>
      </w:r>
    </w:p>
    <w:p>
      <w:pPr>
        <w:pStyle w:val="ListBullet"/>
      </w:pPr>
      <w:r>
        <w:t>Kopie zypriotischer Reisepass Papadimitriou</w:t>
      </w:r>
    </w:p>
    <w:p>
      <w:pPr>
        <w:pStyle w:val="Heading3"/>
      </w:pPr>
      <w:r>
        <w:rPr>
          <w:rFonts w:ascii="Times New Roman" w:hAnsi="Times New Roman"/>
        </w:rPr>
        <w:t>Was fehlt</w:t>
      </w:r>
    </w:p>
    <w:p>
      <w:pPr>
        <w:pStyle w:val="ListBullet"/>
      </w:pPr>
      <w:r>
        <w:t>Kein Dokument zum wirtschaftlich Berechtigten (UBO)</w:t>
      </w:r>
    </w:p>
    <w:p>
      <w:pPr>
        <w:pStyle w:val="ListBullet"/>
      </w:pPr>
      <w:r>
        <w:t>Kein Auszug aus dem Transparenzregister</w:t>
      </w:r>
    </w:p>
    <w:p>
      <w:pPr>
        <w:pStyle w:val="ListBullet"/>
      </w:pPr>
      <w:r>
        <w:t>Keine Abfrage einer Sanktionsliste</w:t>
      </w:r>
    </w:p>
    <w:p>
      <w:pPr>
        <w:pStyle w:val="ListBullet"/>
      </w:pPr>
      <w:r>
        <w:t>Kein PEP-Screening</w:t>
      </w:r>
    </w:p>
    <w:p>
      <w:pPr>
        <w:pStyle w:val="ListBullet"/>
      </w:pPr>
      <w:r>
        <w:t>Kein Fragebogen zum Geschäftszweck der Transaktion</w:t>
      </w:r>
    </w:p>
    <w:p>
      <w:pPr>
        <w:pStyle w:val="ListBullet"/>
      </w:pPr>
      <w:r>
        <w:t>Kein Beleg über Mittelherkunft</w:t>
      </w:r>
    </w:p>
    <w:p>
      <w:pPr>
        <w:pStyle w:val="ListBullet"/>
      </w:pPr>
      <w:r>
        <w:t>Keine Risikoklassifizierung der Geschäftsbeziehung</w:t>
      </w:r>
    </w:p>
    <w:p/>
    <w:p>
      <w:pPr>
        <w:pStyle w:val="Heading2"/>
      </w:pPr>
      <w:r>
        <w:rPr>
          <w:rFonts w:ascii="Times New Roman" w:hAnsi="Times New Roman"/>
        </w:rPr>
        <w:t>§ 11 GwG — Identifizierungspflicht</w:t>
      </w:r>
    </w:p>
    <w:p>
      <w:pPr>
        <w:pStyle w:val="Heading3"/>
      </w:pPr>
      <w:r>
        <w:rPr>
          <w:rFonts w:ascii="Times New Roman" w:hAnsi="Times New Roman"/>
        </w:rPr>
        <w:t>Identifizierung des Vertragspartners (§ 11 Abs. 4 GwG)</w:t>
      </w:r>
    </w:p>
    <w:p>
      <w:pPr>
        <w:jc w:val="left"/>
      </w:pPr>
      <w:r>
        <w:t>Für juristische Personen und Personengesellschaften sind folgende Angaben zu erheben:</w:t>
      </w:r>
    </w:p>
    <w:p>
      <w:pPr>
        <w:pStyle w:val="ListBullet"/>
      </w:pPr>
      <w:r>
        <w:t>Firma und Rechtsform</w:t>
      </w:r>
    </w:p>
    <w:p>
      <w:pPr>
        <w:pStyle w:val="ListBullet"/>
      </w:pPr>
      <w:r>
        <w:t>Registernummer, Registerort</w:t>
      </w:r>
    </w:p>
    <w:p>
      <w:pPr>
        <w:pStyle w:val="ListBullet"/>
      </w:pPr>
      <w:r>
        <w:t>Anschrift des Sitzes oder Hauptniederlassung</w:t>
      </w:r>
    </w:p>
    <w:p>
      <w:pPr>
        <w:pStyle w:val="ListBullet"/>
      </w:pPr>
      <w:r>
        <w:t>Namen der Mitglieder des Vertretungsorgans (Geschäftsführer)</w:t>
      </w:r>
    </w:p>
    <w:p>
      <w:pPr>
        <w:pStyle w:val="ListBullet"/>
      </w:pPr>
      <w:r>
        <w:t>Geburtsdatum der natürlichen Personen in Vertretungsorganen</w:t>
      </w:r>
    </w:p>
    <w:p>
      <w:pPr>
        <w:jc w:val="left"/>
      </w:pPr>
      <w:r>
        <w:t>Der vorliegende Handelsregisterauszug enthält Firma, Registernummer und Sitz. Die Angaben zu den Geschäftsführern (Directors) von Bluetail Holdings Ltd. fehlen. Papadimitriou ist als bevollmächtigter Vertreter aufgetreten, aber nicht als Director identifiziert worden. Eine Überprüfung anhand des Originals oder der elektronischen Registerabfrage fehlt.</w:t>
      </w:r>
    </w:p>
    <w:p>
      <w:pPr>
        <w:pStyle w:val="Heading3"/>
      </w:pPr>
      <w:r>
        <w:rPr>
          <w:rFonts w:ascii="Times New Roman" w:hAnsi="Times New Roman"/>
        </w:rPr>
        <w:t>Identifizierung des wirtschaftlich Berechtigten (§ 11 Abs. 5 GwG)</w:t>
      </w:r>
    </w:p>
    <w:p>
      <w:pPr>
        <w:jc w:val="left"/>
      </w:pPr>
      <w:r>
        <w:t>Der wirtschaftlich Berechtigte ist nach § 3 Abs. 1 GwG die natürliche Person, in deren Eigentum oder unter deren Kontrolle der Vertragspartner letztendlich steht, oder auf deren Veranlassung eine Transaktion durchgeführt wird. Bei Kapitalgesellschaften gilt als wirtschaftlich Berechtigt nach § 3 Abs. 2 GwG jede natürliche Person, die mehr als 25 % der Kapitalanteile hält oder mehr als 25 % der Stimmrechte kontrolliert.</w:t>
      </w:r>
    </w:p>
    <w:p>
      <w:pPr>
        <w:jc w:val="left"/>
      </w:pPr>
      <w:r>
        <w:t>Vitali Petrowitsch Smolenski ist nach den Ermittlungen der Staatsanwaltschaft Kiel über eine zwischengeschaltete Nominee-Holding (Ariadne Nominees Ltd., Nikosia) wirtschaftlich Berechtigter zu 100 % an der Bluetail Holdings Ltd. Dies war aus den dem Gericht vorliegenden Unterlagen zum Zeitpunkt der Transaktionen in zumindest zwei öffentlichen Quellen andeutungsweise erkennbar:</w:t>
      </w:r>
    </w:p>
    <w:p>
      <w:pPr>
        <w:pStyle w:val="ListBullet"/>
      </w:pPr>
      <w:r>
        <w:t>Ein Artikel im Handelsblatt vom 28. Februar 2024 bezeichnete Smolenski im Zusammenhang mit zypriotischen Immobiliengesellschaften.</w:t>
      </w:r>
    </w:p>
    <w:p>
      <w:pPr>
        <w:pStyle w:val="ListBullet"/>
      </w:pPr>
      <w:r>
        <w:t>Im „Cyprus Confidential"-Datensatz (ICIJ, Oktober 2023) taucht die Ariadne Nominees Ltd. als Nominee-Anbieter auf.</w:t>
      </w:r>
    </w:p>
    <w:p>
      <w:pPr>
        <w:jc w:val="left"/>
      </w:pPr>
      <w:r>
        <w:t>Die Kanzlei hat keine dieser Quellen ausgewertet. Eine Abfrage des zypriotischen Beneficiary Register (seit 2021 verpflichtend für CY-Gesellschaften) ist nicht dokumentiert.</w:t>
      </w:r>
    </w:p>
    <w:p/>
    <w:p>
      <w:pPr>
        <w:pStyle w:val="Heading2"/>
      </w:pPr>
      <w:r>
        <w:rPr>
          <w:rFonts w:ascii="Times New Roman" w:hAnsi="Times New Roman"/>
        </w:rPr>
        <w:t>§ 10 Abs. 1 Nr. 3 GwG — Informationen über Geschäftszweck</w:t>
      </w:r>
    </w:p>
    <w:p>
      <w:pPr>
        <w:jc w:val="left"/>
      </w:pPr>
      <w:r>
        <w:t>Die Kanzlei hat den Zweck der Transaktionen nicht dokumentiert. In den Beurkundungsunterlagen ist lediglich „Erwerb zu Freizeitzwecken" angegeben. Eine kritische Würdigung fehlt:</w:t>
      </w:r>
    </w:p>
    <w:p>
      <w:pPr>
        <w:pStyle w:val="ListBullet"/>
      </w:pPr>
      <w:r>
        <w:t>Vier Erwerbe innerhalb von acht Monaten auf einer kleinen Nordseeinsel (Amrum) durch dieselbe Offshore-Gesellschaft</w:t>
      </w:r>
    </w:p>
    <w:p>
      <w:pPr>
        <w:pStyle w:val="ListBullet"/>
      </w:pPr>
      <w:r>
        <w:t>Gesamtvolumen 4,54 Mio. EUR, vollständig in bar/Banktransfer aus Offshore-Quellen</w:t>
      </w:r>
    </w:p>
    <w:p>
      <w:pPr>
        <w:pStyle w:val="ListBullet"/>
      </w:pPr>
      <w:r>
        <w:t>Kein erkennbarer Bezug zwischen dem Geschäftssitz Limassol und Freizeitimmobilien in Schleswig-Holstein</w:t>
      </w:r>
    </w:p>
    <w:p>
      <w:pPr>
        <w:jc w:val="left"/>
      </w:pPr>
      <w:r>
        <w:t>Dieses Muster hätte — auch ohne positive Kenntnis von Smolenski — eine verstärkte Dokumentationspflicht ausgelöst.</w:t>
      </w:r>
    </w:p>
    <w:p/>
    <w:p>
      <w:pPr>
        <w:pStyle w:val="Heading2"/>
      </w:pPr>
      <w:r>
        <w:rPr>
          <w:rFonts w:ascii="Times New Roman" w:hAnsi="Times New Roman"/>
        </w:rPr>
        <w:t>Verstärkte Sorgfaltspflichten nach § 15 Abs. 2 GwG</w:t>
      </w:r>
    </w:p>
    <w:p>
      <w:pPr>
        <w:jc w:val="left"/>
      </w:pPr>
      <w:r>
        <w:t>Die Merkmalskombination „Drittland mit erhöhtem Risiko / Offshore-Jurisdiktion" (Zypern ist innerhalb der EU, aber häufig Sitz von Briefkastengesellschaften und stand zeitweise auf der grauen FATF-Liste) und „ausländische PEP / Sanktionsperson" begründet nach § 15 Abs. 2 GwG in Verbindung mit der Delegierten Verordnung (EU) 2016/1675 erhöhte Anforderungen. Konkret:</w:t>
      </w:r>
    </w:p>
    <w:p>
      <w:pPr>
        <w:pStyle w:val="ListBullet"/>
      </w:pPr>
      <w:r>
        <w:t>Zusätzliche Informationen zur Mittelherkunft</w:t>
      </w:r>
    </w:p>
    <w:p>
      <w:pPr>
        <w:pStyle w:val="ListBullet"/>
      </w:pPr>
      <w:r>
        <w:t>Einholung der Genehmigung des Senior-Managements (Sandhof persönlich)</w:t>
      </w:r>
    </w:p>
    <w:p>
      <w:pPr>
        <w:pStyle w:val="ListBullet"/>
      </w:pPr>
      <w:r>
        <w:t>Häufigere Überwachung der Geschäftsbeziehung</w:t>
      </w:r>
    </w:p>
    <w:p>
      <w:pPr>
        <w:jc w:val="left"/>
      </w:pPr>
      <w:r>
        <w:t>Keine dieser Maßnahmen ist dokumentiert.</w:t>
      </w:r>
    </w:p>
    <w:p/>
    <w:p>
      <w:pPr>
        <w:pStyle w:val="Heading2"/>
      </w:pPr>
      <w:r>
        <w:rPr>
          <w:rFonts w:ascii="Times New Roman" w:hAnsi="Times New Roman"/>
        </w:rPr>
        <w:t>Bedeutung für die Verteidigung</w:t>
      </w:r>
    </w:p>
    <w:p>
      <w:pPr>
        <w:jc w:val="left"/>
      </w:pPr>
      <w:r>
        <w:t>Die objektive Pflichtverletzung ist nicht bestreitbar. Zwei Verteidigungsansätze bleiben:</w:t>
      </w:r>
    </w:p>
    <w:p>
      <w:pPr>
        <w:jc w:val="left"/>
      </w:pPr>
      <w:r>
        <w:rPr>
          <w:b/>
        </w:rPr>
        <w:t>Ansatz 1 (subjektiv):</w:t>
      </w:r>
      <w:r>
        <w:t xml:space="preserve"> Sandhof hat die Transaktionen auf die Sachbearbeiter delegiert und durfte auf deren ordnungsgemäße Durchführung vertrauen. Er hat keine Kenntnis von der Identität Smolenski gehabt. Dieser Ansatz ist für § 261 StGB zentral.</w:t>
      </w:r>
    </w:p>
    <w:p>
      <w:pPr>
        <w:jc w:val="left"/>
      </w:pPr>
      <w:r>
        <w:rPr>
          <w:b/>
        </w:rPr>
        <w:t>Ansatz 2 (Systemfehler / Organisationsverschulden):</w:t>
      </w:r>
      <w:r>
        <w:t xml:space="preserve"> Die Kanzlei hatte kein ausreichendes Compliance-System. Das Fehlen eines AML-Officers und einer aktuellen Risikoanalyse ist als Organisationsverschulden zu werten, das zwar die Bußgeldverantwortung des Partners begründet, aber eine persönliche strafrechtliche Schuld Sandhofs abschwächt.</w:t>
      </w:r>
    </w:p>
    <w:p>
      <w:pPr>
        <w:jc w:val="left"/>
      </w:pPr>
      <w:r>
        <w:t>Beide Ansätze schließen sich im Bußgeldverfahren nicht aus; im Strafverfahren nach § 261 StGB trägt Ansatz 1 das Hauptgewicht.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